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33.2001.32 vom 22. Februar 2001</w:t>
      </w:r>
    </w:p>
    <w:p>
      <w:r>
        <w:t>TI Tribunale d'appello, 2001-02-22, IT</w:t>
      </w:r>
    </w:p>
    <w:p>
      <w:r>
        <w:rPr>
          <w:b/>
        </w:rPr>
        <w:t xml:space="preserve">Quelle: </w:t>
      </w:r>
      <w:r>
        <w:t>https://mcp.opencaselaw.ch/entscheid/ti_gerichte_33.2001.32</w:t>
      </w:r>
    </w:p>
    <w:p>
      <w:r>
        <w:t>FR: TI_GERICHTE 33.2001.32 du 22 février 2001</w:t>
      </w:r>
    </w:p>
    <w:p>
      <w:r>
        <w:t>IT: TI_GERICHTE 33.2001.32 del 22 febbraio 2001</w:t>
      </w:r>
    </w:p>
    <w:p>
      <w:pPr>
        <w:pStyle w:val="Heading2"/>
      </w:pPr>
      <w:r>
        <w:t>Regeste</w:t>
      </w:r>
    </w:p>
    <w:p>
      <w:r>
        <w:t>Sentenza o decisione senza scheda</w:t>
      </w:r>
    </w:p>
    <w:p>
      <w:pPr>
        <w:pStyle w:val="Heading2"/>
      </w:pPr>
      <w:r>
        <w:t>Erwägungen</w:t>
      </w:r>
    </w:p>
    <w:p>
      <w:r>
        <w:rPr>
          <w:b/>
        </w:rPr>
        <w:t>E. 12</w:t>
      </w:r>
    </w:p>
    <w:p>
      <w:r>
        <w:t>e pag. 460 nota 83). I limiti di reddito rivestono pertanto una doppia funzione e meglio quella di limite dei bisogni e di reddito minimo garantito (DTF 121 V 204; Pratique VSI 1995 pagg. 52 e 176; 1994 pag. 225; RCC 1992 pag. 225; cfr. anche Messaggio concernente la terza revisione della Legge federale sulle prestazioni complementari all’AVS/AI, pagg. 3, 8 e 9). 2.3.   Secondo l’art. 3a LPC (cfr. anche art. 2 LPC), " L'importo della prestazione complementare annua deve corrispondere alla differenza tra l'eccedenza delle spese riconosciute e i redditi (cpv. 1).” 2.4.   Per quanto riguarda le spese riconosciute, l’art. 3b LPC prevede che " Per le persone che non vivono durevolmente o per un lungo periodo in un istituto o in un ospedale (persone che vivono a casa), le spese riconosciute sono le seguenti: a.  importo destinato alla copertura del fabbisogno vitale, per anno: 1. per le persone sole, almeno 15280 franchi e al massimo 16880 franchi ; 2. per i coniugi, almeno 22920 franchi e al massimo 25320 franchi; 3. per gli orfani e per i figli che danno diritto a una rendita per figli dell’AVS o dell’AI, almeno 8050 franchi e al massimo 8850 franchi .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2.5.   Secondo l’art. 3c cpv. 1 LPC, inoltre,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2.6.   Non sono, invece, computati come redditi determinanti (art. 3c cpv. 2 LPC):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2.7.   Nel caso concreto, l’assicurato ha fatto valere principalmente, come precedentemente evidenziato, un errore nella computazione del canone di locazione, sostenendo che la figlia __________ è a suo carico. Pertanto, per il calcolo della PC dovrebbe, a suo dire, essere ritenuto il canone di locazione annuo ripartito su due teste, per un ammontare complessivo di Fr. 6'000.-. Pendente causa la Cassa si è allineata a tale tesi calcolando infine una prestazione complementare pari a Fr. 529.- (doc._). A proposito del canone di locazione computabile si rileva che, secondo l’art. 3b cpv. 1 lett. b LPC in vigore dal 1° gennaio 1998, si tiene sì conto della pigione ma senza deduzione di alcuna franchigia e delle spese accessorie. L’art. 5 cpv. 1 lett. b LPC precisa inoltre che " I Cantoni stabiliscono l’importo delle spese di pigione giusta l’articolo 3b capoverso 1 lettera b fino a concorrenza, in un anno, di: 1.  12000 franchi per le persone sole, 2.  13800 franchi per i coniugi e le persone con figli che hanno o danno diritto a una rendita”. Per quanto riguarda l’ammontare della pigione computabile nell’ipotesi in cui più inquilini abitino nel medesimo appartamento, il nuovo art. 16c OPC entrato in vigore il 1° gennaio 1998 prevede: " Quando appartamenti o case unifamiliari sono occupati anche da persone escluse dal calcolo della PC, la pigione computabile dev’essere ripartita fra le singole persone. Le parti di pigione delle persone escluse dal calcolo della PC non sono prese in considerazione nel calcolo della prestazione complementare annua” (cpv. 1). Di massima l’ammontare della pigione è ripartito in parti uguali” (cpv. 2). L’UFAS ha commentato nel modo seguente questa norma (Pratique VSI 1998 pag. 35): " Le 1 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 e alinéa indique comment la répartition doit être opérée. En principe, elle se fera par têtes, et non selon le nombre des pièces occupées ou de m 2 . Des dérogations sont possibles, d'où l'utilisation de l'expression "en principe"." La norma citata ha in pratica codificato quanto stabilito in precedenza dalla giurisprudenza federale. Secondo il TFA, infatti, il canone di locazione deve essere suddiviso in parti uguali tra le persone che occupano l'alloggio (RCC 1977 pag. 567, RCC 1974 pag. 512 consid. 2; STCA 11 novembre 1991 in re A.T., STCA 21 febbraio 1992 in re A.T.), anche nel caso in cui il contratto di locazione è intestato ad una sola persona (ZAK 1974 pag. 556). Lo stesso vale per i figli a beneficio di una prestazione complementare che vivono con i genitori (ZAK 1977 pag. 245). Una deroga a tale principio è concessa solo entro certi limiti e dev’essere ammessa con prudenza, ad esempio se uno degli inquilini occupa da solo gran parte dell’abitazione. Un’eccezione è parimenti ammessa quando una persona accoglie gratuitamente nell’abitazione un’altra, poiché vi è obbligata moralmente o giuridicamente (DTF 105 V 273). In quest’ultimo caso il TFA ha ammesso l’eccezione alla suddivisione in parti uguali del canone di locazione, in quanto la titolare del contratto di locazione, affetta da disturbi fisici e psichici, necessitava forzatamente delle cure erogatele dalla persona che divideva con lei l’appartamento, in caso contrario avrebbe dovuto essere ricoverata in istituto. Tali cure risultavano quindi di grande importanza per l’assicurata, che aveva un grosso debito di riconoscenza nei confronti dell’amico (DTF 105 V 274). 2.8.   Nel caso concreto, la resistente ha potuto appurare (docc. _) come __________, figlia di __________– quest’ultima conduttrice dell’appartamento di Via __________ -, vive presso l’Istituto __________ sin dal 25 gennaio 1999. Il citato appartamento serve dunque da dimora domestica soltanto per tre persone, e meglio per __________, __________ e __________. L’impugnazione dell’assicurato fatta valere contro la decisione 22 febbraio 2001 e chiedente di computare nel proprio fabbisogno l’importo di Fr. 6'000.-, pari a 2/3 della pigione annua di Fr. 9'000.- (la parte di __________, esclusa dal calcolo della PC, non è presa in considerazione nel calcolo della prestazione complementare annua, cfr. considerando 2.7.), deve pertanto essere accolta. A titolo abbondanziale si rileva come, pendente causa, la resistente, esperite le opportune verifiche, ha accondisceso a quanto postulato dal ricorrente nel proprio memoriale di ricorso, fissando il nuovo diritto dell’assicurato ad una prestazione complementare pari ad un importo di Fr. 529.- mensili (doc. _) {[(Fr. 16'880.- + Fr. 8'850.- + Fr. 3'936.- + Fr. 2'100.- + Fr. 6'000) – (Fr. 2'997.- + Fr. 24'492.-)] – Fr. 3'936.-} : 12 = Fr. 528.40, arrotondato per eccesso a Fr. 529.-. 2.9.   Il ricorrente ha sollevato da ultimo una censura in merito ad una pretesa disparità di trattamento attuata nei di lui confronti: a suo dire, la Cassa non avrebbe, a torto, considerato i summenzionati concubini alla stessa stregua di una coppia di coniugi. Tale assunto non deve essere protetto. Difatti, in base ai disposti delle cifre 2023 e 2024 delle Direttive sulle Prestazioni Complementari all’AVS e AI (DPC) entrati in vigore il 1° gennaio 1998, risulta chiaramente che “2022    L’importo per il fabbisogno vitale per persone sole è applicato alle persone maggiorenni celibi, vedove o divorziate. 2024 Tale importo è inoltre applicabile ai coniugi che vivono separati (cfr. N. 2033 segg.), alle persone coniugate il cui coniuge soggiorna per un lungo periodo all’estero o il cui luogo di soggiorno è sconosciuto (cfr. il N. 2031) nonché alle persone che vivono in concubinato.” A comprova di quanto suferito, e cioè che i concubini sono considerati alla stessa stregua di persone sole riguardo al calcolo per l’importo per il fabbisogno vitale, si fa ulteriore riferimento alla cifra 2025 delle medesime Direttive DPC: " “L’importo per il fabbisogno vitale per coniugi è applicato a tutte le persone coniugate – compresi gli orfani coniugati che beneficiano di una rendita per orfani e i figli coniugati che danno diritto a una rendita per figli -, ad eccezione di quelle che vivono separate (cfr. N. 2033 segg.).” Da quanto precede si comprende dunque, a contrario, che le persone che vivono in concubinato non rientrano nella categoria dei coniugi. E’ quindi a buon diritto che la Cassa ha ritenuto nel calcolo del fabbisogno vitale dell’assicurato il limite di reddito di Fr. 16'880.- a titolo di persona sola, importo al quale sono stati correttamente aggiunti Fr. 8'850.- per la figlia __________. 2.10.   Visto quanto sopra, le censure sollevate dall’assicurato in via principale devono essere parzialmente respinte. La decisione impugnata deve essere quindi annullata e riformata unicamente sulla base di quanto evidenziato sub considerando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