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33.2000.99 vom 17. April 2001</w:t>
      </w:r>
    </w:p>
    <w:p>
      <w:r>
        <w:t>TI Tribunale d'appello, 2001-04-17, IT</w:t>
      </w:r>
    </w:p>
    <w:p>
      <w:r>
        <w:rPr>
          <w:b/>
        </w:rPr>
        <w:t xml:space="preserve">Quelle: </w:t>
      </w:r>
      <w:r>
        <w:t>https://mcp.opencaselaw.ch/entscheid/ti_gerichte_33.2000.99</w:t>
      </w:r>
    </w:p>
    <w:p>
      <w:r>
        <w:t>FR: TI_GERICHTE 33.2000.99 du 17 avril 2001</w:t>
      </w:r>
    </w:p>
    <w:p>
      <w:r>
        <w:t>IT: TI_GERICHTE 33.2000.99 del 17 aprile 2001</w:t>
      </w:r>
    </w:p>
    <w:p>
      <w:pPr>
        <w:pStyle w:val="Heading2"/>
      </w:pPr>
      <w:r>
        <w:t>Regeste</w:t>
      </w:r>
    </w:p>
    <w:p>
      <w:r>
        <w:t>Sentenza o decisione senza scheda</w:t>
      </w:r>
    </w:p>
    <w:p>
      <w:pPr>
        <w:pStyle w:val="Heading2"/>
      </w:pPr>
      <w:r>
        <w:t>Erwägungen</w:t>
      </w:r>
    </w:p>
    <w:p>
      <w:r>
        <w:rPr>
          <w:b/>
        </w:rPr>
        <w:t>E. 1</w:t>
      </w:r>
    </w:p>
    <w:p>
      <w:r>
        <w:t>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Il Consiglio federale stabilisce le spese che possono essere rimborsate conformemente al capoverso 1, delegando al Dipartimento dell’interno la competenza di stabilire le spese di malattia rimborsabili (art. 19 OPC). Secondo l’art.</w:t>
      </w:r>
    </w:p>
    <w:p>
      <w:r>
        <w:rPr>
          <w:b/>
        </w:rPr>
        <w:t>E. 6</w:t>
      </w:r>
    </w:p>
    <w:p>
      <w:r>
        <w:t>OMPC</w:t>
      </w:r>
    </w:p>
    <w:p>
      <w:r>
        <w:t>In simili condizioni, merita conferma loperato dellamministrazio-ne ed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