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33.2000.89 vom 25. September 2000</w:t>
      </w:r>
    </w:p>
    <w:p>
      <w:r>
        <w:t>TI Tribunale d'appello, 2000-09-25, IT</w:t>
      </w:r>
    </w:p>
    <w:p>
      <w:r>
        <w:rPr>
          <w:b/>
        </w:rPr>
        <w:t xml:space="preserve">Quelle: </w:t>
      </w:r>
      <w:r>
        <w:t>https://mcp.opencaselaw.ch/entscheid/ti_gerichte_33.2000.89</w:t>
      </w:r>
    </w:p>
    <w:p>
      <w:r>
        <w:t>FR: TI_GERICHTE 33.2000.89 du 25 septembre 2000</w:t>
      </w:r>
    </w:p>
    <w:p>
      <w:r>
        <w:t>IT: TI_GERICHTE 33.2000.89 del 25 settembre 2000</w:t>
      </w:r>
    </w:p>
    <w:p>
      <w:pPr>
        <w:pStyle w:val="Heading2"/>
      </w:pPr>
      <w:r>
        <w:t>Regeste</w:t>
      </w:r>
    </w:p>
    <w:p>
      <w:r>
        <w:t>Sentenza o decisione senza scheda</w:t>
      </w:r>
    </w:p>
    <w:p>
      <w:pPr>
        <w:pStyle w:val="Heading2"/>
      </w:pPr>
      <w:r>
        <w:t>Erwägungen</w:t>
      </w:r>
    </w:p>
    <w:p>
      <w:r>
        <w:rPr>
          <w:b/>
        </w:rPr>
        <w:t>E. 1</w:t>
      </w:r>
    </w:p>
    <w:p>
      <w:r>
        <w:t>12’000 franchi per le persone sole,</w:t>
      </w:r>
    </w:p>
    <w:p>
      <w:r>
        <w:rPr>
          <w:b/>
        </w:rPr>
        <w:t>E. 2</w:t>
      </w:r>
    </w:p>
    <w:p>
      <w:r>
        <w:t>13’800 franchi per i coniugi e le persone con figli che hanno o danno diritto a una rendita.” Per l'art. 16a OPC AVS AI inoltre nei confronti di persone che abitano un immobile di loro proprietà per le spese accessorie è previsto soltanto un forfait (cpv. 1) che è pari a fr. 1'680 annui (cpv. 3). Nella concreta evenienza, la Cassa ha computato fr. 2'240.— (doc. _) corrispondente a fr. 2'800.— a titolo di canone locatizio (cfr. consid. 1.3.) e fr. 1'680.— come spese accessorie, suddiviso per due, ossia per le persone che abitano la casa di proprietà del ricorrente. Ora, poiché l'assicurato è proprietario dell'appartamento in cui vive va computato il valore locativo dell'immobile. Secondo l'art. 12 OPC, il valore locativo dell'abitazione occupata dal proprietario è valutato secondo i criteri validi in materia d'imposta cantonale diretta del cantone di domicilio e, se tali criteri non esistono, secondo quelli in materia di imposta federale diretta.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 la quale abroga la circolare n. 15/1997 del 16 maggio 1997: " il valore locativo corrisponde, di regola, ad una percentuale del valore di stima dei fabbricati. Il tasso (che converte la stima in valore locativo da tassare) è regolarmente adeguato dalla Divisione delle contribuzioni e varia a dipendenza dell'anno di costruzione dell'immobile. Esso è calcolato in funzione dell'obbiettivo di conseguire un valore locativo che si situi mediamente attorno al 70% del valore medio delle pigioni di mercato. Questo metodo di calcolo si applica per determinare il valore locativo delle abitazioni unifamiliari e plurifamiliari, come pure degli appartamenti in condominio (PPP) e delle case a schiera (PPP orizzontali). Se l'applicazione di questo metodo porta a dei risultati in contrasto col principio secondo cui il valore locativo deve corrispondere al valore delle pigioni di mercato prudenzialmente ridotte (mediamente al 70%) è possibile ricorrere, senza ledere il principio della parità di trattamento, a valutazioni individualizzate (canoni locatizi adeguatamente ridotti,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Nei comuni in cui la revisione generale delle stime è entrata in vigore prima del 1. gennaio 1991, si applicherà il valore succitato per i fabbricati nuovi la cui stima è entrata in vigore dal 1 gennaio 1991 e il contribuente ha presentato la domanda di ridurre il valore di stima. Le istruzioni 1999/2000 per la determinazione del valore locativo precisano inoltre che "</w:t>
      </w:r>
    </w:p>
    <w:p>
      <w:r>
        <w:rPr>
          <w:b/>
        </w:rPr>
        <w:t>E. 2.2</w:t>
      </w:r>
    </w:p>
    <w:p>
      <w:r>
        <w:t>per i fabbricati riattati la cui stima, dopo il riattamento, è entrata in vigore dal 01.01.91 in poi e il contribuente ha presentato, all'Ufficio stima, la richiesta per ottenere la riduzione del valore di stima</w:t>
      </w:r>
    </w:p>
    <w:p>
      <w:r>
        <w:rPr>
          <w:b/>
        </w:rPr>
        <w:t>E. 2.2.1</w:t>
      </w:r>
    </w:p>
    <w:p>
      <w:r>
        <w:t>nel caso in cui il nuovo valore locativo dopo il riattamento è già stato tassato nel periodo fiscale 1997/98 si applica: -    la medesima percentuale di calcolo (5, 6.5 o 7.25%) applicata per la tassazione 1997/98 alla (parte) di stima ufficiale prima del riattamento (parte vecchia del fabbricato) e -    il 6.25% all'aumento della stima ufficiale ridotto del 30%. Attenzione: se il calcolo è eseguito in modo corretto ne deve in ogni caso risultare un valore locativo ridotto rispetto a quello tassato nel periodo fiscale 1997/98. …</w:t>
      </w:r>
    </w:p>
    <w:p>
      <w:r>
        <w:rPr>
          <w:b/>
        </w:rPr>
        <w:t>E. 2.3</w:t>
      </w:r>
    </w:p>
    <w:p>
      <w:r>
        <w:t>per tutti gli altri fabbricati (sono compresi nuovi o riattati la cui stima è entrata in vigore dal 01.01.91 in poi che non sono stato oggetto di una richiesta di riduzione della stima all'Ufficio stima) si applicano le usuali disposizioni cioè: -    il 7.25 per gli immobili la cui stima è entrata in vigore il 01.01.85 o precedentemente; -    il 6.5% per gli immobili la cui stima è entrata in vigore fra il 01.01.86 e il 01.01.89; -    il 5% per gli immobili la cui stima è entrata in vigore il 01.01.90 o successivamente." Tale modo di procedere non è, in linea di principio, contrario al principio dell'uguaglianza di trattamento (CDT n. 24 del 13 febbraio 1996 in re R.C.). Infine, va ancora rilevato che, di regola, se più persone abitano - in comune - in un appartamento o in una casa unifamiliare la pigione e le spese accessorie sono suddivise in parti uguali tra i singoli residenti e così computate ai fini del calcolo della PC annua (cfr. Direttiva UFAS sulle prestazioni complementari all’AVS/AI (DPC), marg. 3026, cfr. pure DTF 105 V 271). Nel caso di specie, risiedendo l’assicurato in un immobile di sua proprietà (part. __________ e __________RFD di __________) in compagnia di __________ (cfr. richiesta PC del 13 aprile 2000 agli atti dell’aministrazione), correttamente la Cassa ha dedotto l’importo di fr. 2'240.— a titolo di pigione, equivalente alla metà del valore locativo ricavato dall’ultima notifica di tassazione (fr. 2'800.--, cfr. atti dell’amministrazione) sommato all’importo forfettario pari a fr. 1'680.— a titolo di spese accessorie ai sensi dell’art. 16a OPC. 2.7.   Con il ricorso l’assicurato censura pure il calcolo del reddito della proprietà fondiaria (cfr. doc. _, Pos. 28) ai fini della PC. A norma dell'art. 3c cpv. 1 lett. b LPC, il reddito della sostanza immobiliare comprende pigioni e canoni d'affitto, usufrutto, diritti d'abitazione nonché il valore locativo della propria abitazione (cfr. Direttive UFAS sulle prestazioni complementari, cifra 2092; Carigiet/Koch, Ergänzungsleistungen zur AHV/IV, Supplement, Zurigo 2000, pag. 99 e contestualmente al calcolo del valore locativo cfr. consid. 2.6.). In aggiunta al consid. 2.6., va ancora rilevato che secondo la LPC per gli assicurati dei quali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 In simili condizioni, a parere della scrivente Corte, la Cassa ha correttamente computato l’importo di fr. 4'000.— quale reddito lordo degli immobili di __________ i, equivalente al valore locativo della propria abitazione (fr. 2'800.-, cfr. consid. 2.6) sommato al reddito lordo della proprietà fondiaria (fr. 1'200.--, cfr. notifica di tassazione 1999/2000 agli atti dell’amministrazione) e meglio come si evince dai dati fiscali cresciuti in giudicato. 2.8.   Infine, per quanto attiene alla proprietà fondiaria che serve all’assicurato da abitazione primaria, si rileva che, pendente causa, l’amministrazione ha ridotto da fr. 103'320.-- a fr. 72'324.— il valore di stima dei mappali no. __________e __________RFD in ossequio agli art. 47 e 48 Legge sulla stima ufficiale della sostanza immobiliare del 13 novembre 1996 (cfr. doc. _). Questa riduzione è senz’altro corretta. Alla luce della modifica succitata, poiché il valore complessivo della sostanza immobiliare di proprietà di __________ al netto dei debiti ipotecari correttamente computati dall’amministrazione (cfr. doc. _ agli atti della Cassa di compensazione) è pari a fr. 58'290.--, il totale dei redditi determinanti assomma a fr. 24'650.--. Ora, ritenuto che il fabbisogno dell’assicurato ammonta a fr. 26'074.— (doc. _), si giustifica l’assegnazione di una prestazione complementare limitatamente al riconoscimento del premio dell’assicurazione malattie obbligatoria con effetto dal 1° aprile 2000, come peraltro correttamente ammesso dall’amministrazione in sede di risposta (doc. _). Al proposito deve essere ancora segnalato che l'art. 26 OPC concernente l'ammontare minimo della prestazione complementare annua, prevede che: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forfettario annuo per l'assicurazione obbligatoria malattie secondo l'articolo 3b cpv. 3 lett. d LPC." Queste due disposizioni, entrate in vigore il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complementare AVS/AI è corrisposto direttamente dal cantone agli assicuratori." Va, comunque, osservato che il premio lordo della LAMal viene finanziato in parte attraverso la LPC, tramite il trasferimento di un importo pari al premio medio cantonale, e in parte attraverso i sussidi LAMal. In simili circostanze, il ricorso dell’assicurato va parzialmente accolto e la decisione della Cassa annullata e riformata nel senso che a __________ deve essere erogata una PC limitatamente al riconoscimento del premio dell’assicurazione malattie obbligatoria con effetto a decorrere dal 1° aprile 2000 e meglio come rettamente ammesso dall’amministrazione cantonale in sede risponsuale.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