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33.2000.81 vom 16. Mai 2001</w:t>
      </w:r>
    </w:p>
    <w:p>
      <w:r>
        <w:t>TI Tribunale d'appello, 2001-05-16, IT</w:t>
      </w:r>
    </w:p>
    <w:p>
      <w:r>
        <w:rPr>
          <w:b/>
        </w:rPr>
        <w:t xml:space="preserve">Quelle: </w:t>
      </w:r>
      <w:r>
        <w:t>https://mcp.opencaselaw.ch/entscheid/ti_gerichte_33.2000.81</w:t>
      </w:r>
    </w:p>
    <w:p>
      <w:r>
        <w:t>FR: TI_GERICHTE 33.2000.81 du 16 mai 2001</w:t>
      </w:r>
    </w:p>
    <w:p>
      <w:r>
        <w:t>IT: TI_GERICHTE 33.2000.81 del 16 maggio 2001</w:t>
      </w:r>
    </w:p>
    <w:p>
      <w:pPr>
        <w:pStyle w:val="Heading2"/>
      </w:pPr>
      <w:r>
        <w:t>Regeste</w:t>
      </w:r>
    </w:p>
    <w:p>
      <w:r>
        <w:t>Sentenza o decisione senza scheda</w:t>
      </w:r>
    </w:p>
    <w:p>
      <w:pPr>
        <w:pStyle w:val="Heading2"/>
      </w:pPr>
      <w:r>
        <w:t>Volltext</w:t>
      </w:r>
    </w:p>
    <w:p>
      <w:r>
        <w:t>Tessin Tribunale cantonale delle assicurazioni 16.05.2001 33.2000.81 Tessin Tribunale cantonale delle assicurazioni 16.05.2001 33.2000.81 Ticino Tribunale cantonale delle assicurazioni 16.05.2001 33.2000.81</w:t>
      </w:r>
    </w:p>
    <w:p>
      <w:r>
        <w:t>Sentenza o decisione senza scheda</w:t>
      </w:r>
    </w:p>
    <w:p>
      <w:r>
        <w:t>RACCOMANDATA Incarto n. 33.2000.00081 MA /sc Lugano 16 maggio 2001 In nome della Repubblica e Cantone del Ticino Il giudice delegato del Tribunale cantonale delle assicurazioni Giudice Ivano Ranzanici con redattore: Marco Armati segretario: Fabio Zocchetti statuendo sul ricorso del 14 settembre 2000 di __________ , rappr. da: avv. __________, contro le decisioni del 14 agosto 2000 e 25 agosto 2000 emanate da Cassa cant. di compensazione, 6501 Bellinzona 1 Caselle, in materia di prestazioni complementari ritenuto, in fatto 1.1.   Con tre decisioni 14 agosto 2000 ed una decisione 25 agosto 2000, la Cassa cantonale di compensazione (di seguito la Cassa) ha accolto la richiesta di __________ tendente all’assegnazione di una prestazione complementare limitatamente al riconoscimento del premio dell’assicurazione malattia obbligatoria a far tempo dal 1° gennaio 1998 (doc. _). 1.2.   Contro queste decisioni l’assicurata ha fatto inoltrare un tempestivo ricorso al TCA nel quale il suo patrocinatore, l’avv. __________, si è così espresso: " (…) 1. Si premette che la querelata decisione è stata spedita il 14 agosto 2000 e ricevuta dalla ricorrente al più presto il giorno successivo, pertanto il presente ricorso è tempestivo. 2. Si premette che la domanda di essere posta al beneficio di prestazioni complementari dal­la ricorrente è stata respinta dall'Istituto delle assicurazioni sociali in Bellinzona, con ef­fetto dal 1. gennaio 1998 dato che sulla scorta della tabella di calcolo annessa alla decisione medesima che il reddito determinante risulterebbe superare il limite annuo fissato dalla legge a norma dell'art. 4 LPC. A mente della ricorrente tali decisioni si fondano su premesse sbagliate dalle quali non possono che scaturire decisioni altrettanto errate. 3. Secondo la tabella di calcolo l'autorità competente ha valutato la sostanza immobiliare al valore commerciale per un importo di fr. 58'333.‑‑, fondato certamente su una valutazio­ne del tutto sproporzionata. Va da prima precisato che la sostanza in esame, relativa alla part. N. __________del Comune di __________ trattasi di una comproprietà ordinaria e non di una comunione ereditaria. In particolare l'istante è comproprietaria in ragione di 1/3. Il fondo in esame è formato da una casa di due piani diroccata e dichiarata non abitabile, del Comune di __________, il cui valore di stima, quota parte della ricorrente, è di soli fr. 8'933.‑ (1/3 di fr. 26'800.‑‑). Trattandosi di sostanza che in pratica non produce assolutamente alcun reddito, mal si comprende come si possa aver accertato un valore commerciale di ben fr. 58'333.‑‑, rite­nuto poi che lo stabile si trova a __________ dove il mercato immobiliare di questi ultimi anni è diminuito in linea del resto con tutto il mercato immobiliare di questo decennio. 4. Considerato quanto sopra si ritiene che le modalità di calcolo così come determinate sono puramente teoriche, anche se dettate dalla legge. Di transenna la qui ricorrente, con l'approvazione del sottoscritto legale, chiede espres­samente che si abbia, non solo a procedere ad una verifica del valore commerciale del fondo in comproprietà, ma anche ad un sopralluogo affinché codesti Giudici abbiano a vedere di persona in che stato si trova lo stabile in esame, invero molto fatiscente. P.q.m., viste le norme di legge sopra richiamate, così come ogni altra in concreto applicabile, riservato ogni più ampio sviluppo in fatto e in diritto in corso di procedura, chiedesi piaccia giudicare 1. Le decisioni del 14 agosto 2000 e del 25 agosto 2000 dell'Istituto delle assicurazioni sociali in Bellinzona, con la quale è stata rifiutata la prestazione complementare alla signo­ra __________ sono annullate. §   Di conseguenza alla signora __________ è accordata una rendita di prestazione complementare, il cui importo sarà determinato in corso di istruttoria e prudenzialmente quantificato in fr. 260.‑‑. 2.   Protestate spese e ripetibili." (Doc. _) 1.3.   Nella sua risposta 23 ottobre 2000 (doc. _) la Cassa ha proposto di respingere il ricorso, osservando: " Dalla documentazione agli atti rileviamo che la ricorrente è comproprietaria in ragione di 1/3 della particella N. __________sita in territorio del Comune di __________ e che dal 2 dicembre 1997 si trova degente ininterrottamente presso la Casa __________ per anziani di __________. Per quanto attiene la valutazione della sostanza immobiliare l'art. 17 cpv. 4 OPC stabilisce: "                                                                             la sostanza immobiliare che non serve da abitazione al richiedente o a una persona compresa nel calcolo delle PC deve essere computata al valore corrente." Nel caso specifico si verifica quanto previsto dal citato articolo per cui la resistente ha ordinato la perizia tecnica atta a stabilire il valore corrente della sostanza immobiliare posseduta in comproprietà. Per questa valutazione è stato dato mandato all'ufficio cantonale di stima il quale, a perizia conclusa, ha permesso di stabilire un valore corrente della sostanza immobiliare di fr. 58'333.‑ (1/3 di fr. 175'000.‑). Circa i parametri utilizzati per valutare la sostanza la resistente non può che riconfermarsi nel valore citato e contestato in quanto scaturito da una perizia specificatamente richiesta. A tal proposito giova infatti ricordare che anche codesto lodevole Tribunale cantonale delle assicurazioni ha già avuto modo di confermare tale prassi amministrativa. Alla luce di quanto precede e tutto ben considerato si chiede pertanto, a codesto lodevole Tribunale cantonale delle assicurazioni, di voler respingere il ricorso confermando le decisioni impugnate." (Doc. _) 1.4.   Il 13 novembre 2000 la ricorrente, alla quale è stata inviata copia della perizia 2 agosto 2000, ha fatto pervenire al TCA uno scritto del seguente tenore: " (…) Per quel che concerne la perizia dell'Ufficio di stima, si postula che venga esperita una perizia giudiziaria sull'oggetto di contestazione, atteso che la perizia prodotta dalla Cassa di compensazione AVS deve essere considerata di parte. Va evidenziato che l'edificio come rettamente riconosciuto è una casa disabitata e di antica data, senza alcuna installazione ed in uno stato di conservazione pessimo, ragione per la quale la valutazione commerciale espressa è del tutto sproporzionata e non tiene minimamente conto del fatto che l'abitazione è praticamente inabitabile. A mente della ricorrente, la perizia giudiziaria, che deve necessariamente essere effettuata unitamente ad un sopralluogo, permetterà di riequilibrare l'effettivo valore dello stabile e di stabilire se la valutazione dell'Ufficio di stima sia corretta oppure no." (Doc. _) 1.5.   Con scritto 16 novembre 2000 la Cassa, invitata dal TCA a formulare le proprie osservazioni, si è integralmente riconfermata nella risposta di causa (doc. _). 1.6.   Il 31 gennaio 2001 il TCA ha provveduto ad ulteriori accertamenti, chiedendo all’amministrazione se, nel caso concreto, fosse stato esperito un sopralluogo in presenza dell’assicurata al fine di stabilire la correttezza della valutazione peritale (doc. _). 1.7.   In data 13 marzo 2001 la Cassa, riconfermandosi nella reiezione del gravame (doc. _), ha indirizzato al TCA le seguenti osservazioni a cura dell’Ufficio stima: " Con riferimento alla vostra richiesta del 1 febbraio 2001, tendente alla verifica della nostra perizia, a seguito del ricorso del 13 novembre 2000 contro la decisione di prestazione complementare alla rendita AVS/AI da parte dell'IAS, abbiamo esperito un incontro con il signor __________ e l'avvocato __________ l'8 marzo 2001. Durante l'incontro abbiamo analizzato i vari aspetti riguardanti le valutazioni espresse nella nostra perizia e le osservazioni presentate dal signor __________ e dall'avvocato __________, procedendo ad un ulteriore sopralluogo.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fondi; b)                                                                           i prezzi pagati nelle contrattazioni di compravendita, pubbliche e private, avvenute nella località negli ultimi anni; c)                                                                           il valore dei fabbricati in rapporto con le dimensioni, con il genere di costruzione e sua maggiore o minore solidità e ricercatezza, con i comodi e con gli incomodi di abitabilità o d'utilizzazione, con lo stato di conservazione. d)                                                                           le norme pianificatorie dettate dal Piano Regolatore, la posizione, le dimensioni, le caratteristiche fisiche, la configurazione, la topografia, l'esposizione, lo sfruttamento, il grado d'urbanizzazione, gli accessi, le servitù, nonché quei fattori positivi o negativi che incidano sul valore commerciale. Dal riesame delle valutazioni contenute nella nostra perizia, riteniamo che non vi siano nuovi elementi che non siano già stati considerati dal perito incaricato di allestire la valutazione. Pertanto sulla base dei considerandi sopraccitati riteniamo di dover confermare in tutto il suo aspetto la nostra perizia immobiliare." (Doc. _) Le osservazioni dell’Ufficio stima sono state trasmesse al patrocinatore della ricorrente il quale ha rilevato che : « nella mia qualità di patrocinatore della signora __________ ho preso atto del contenuto della perizia allestita dall’Ufficio stima e le comunico che da parte della ricorrente non vi sono osservazioni particolari da formulare e ci si rimette interamente al prudente giudizio di questo Tribunale »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Scopo della prestazione complementare è quello di garantire un "reddito minimo" per far fronte ai "fabbisogni vitali" ai sensi dell'art. 34 quater 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2.3.   Per l’art. 2a lett. a LPC hanno diritto alle prestazioni complementari giusta l’articolo 2 LPC le persone che ricevono una rendita di vecchiaia dell’AVS. 2.4.   Secondo l’art. 3a LPC (cfr. anche art. 2 LPC) " L'importo della prestazione complementare annua deve corrispondere alla differenza tra l'eccedenza delle spese riconosciute e i redditi (cpv. 1)." Per quanto attiene alle spese riconosciute, l’art. 3b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Inoltre,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Con il ricorso l’assicurata contesta il valore venale della sostanza immobiliare ai fini del calcolo della PC, in quanto sarebbe troppo elevato (doc. _). Per l’art. 3c cpv. 7 lett. b LPC il Consiglio federale disciplina la valutazione dei redditi determinanti, delle spese riconosciute e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inferiore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2.6.   Nel caso di specie, l'immobile dell'assicurata non le serve da abitazione, in quanto risulta risiedere in casa per anziani. Correttamente, quindi, la Cassa di compensazione ha computato il valore venale dell’immobile di sua proprietà. Il fatto non è del resto contestato.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deve sempre far capo allo stesso servizio per la determinazione del valore corrente degli immobili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2.7.   L’Ufficio stima, con perizia immobiliare 2 agosto 2000, ha stabilito in frs. 175'000.- il valore venale dell’immobile in comproprietà dell’assicurata (doc. _).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Alla luce di quanto precede, non merita tutela la censura dell’assicurata secondo cui la perizia immobiliare dell’Ufficio stima equivale ad una mera perizia di parte scevra di valore probatorio. 2.8.   Con il ricorso l’assicurata sostiene che l’importo computato dalla Cassa quale valore venale è eccessivo ed in particolare che i valori indicati nei rapporti peritali sono irrealizzabili e meramente teorici, essendo l’edificio di antica data, disabitato, sprovvisto delle necessarie installazioni ed in pessimo stato di conservazione (doc. _). Tuttavia, agli atti non v’é alcun indizio per cui il valore corrente dell’immobile andrebbe ridotto rispetto a quello stabilito dall’amministrazione. Dalla perizia emerge che il perito ha proceduto a valutare i fondi della ricorrente considerando il fabbricato al suo stato attuale, tenendo conto delle pessime condizioni di manutenzione, dello stato carente e del fatto che lo stesso sia ormai di antica data, disabitato e sprovvisto di installazioni. Va inoltre rilevato che la particella dell’assicurata oltre ad essere libera da servitù ed oneri fondiari è dotata di un discreto appezzamento di terra ed è ubicata in zona nucleo vecchio del piano regolatore comunale, per cui si giustifica un valore venale più elevato (doc. _ agli atti dell’amministrazione). In simili circostanze, occorre concludere che non vi sono elementi atti a mettere in discussione la correttezza della perizia eseguita dall’Ufficio di stima. Del resto quest’ultima si fonda su accertamenti approfonditi, esperiti da specialisti nel ramo, che si sono fondati su criteri generalmente applicabili in questo ambito. Essa giunge inoltre a conclusioni logiche, conformemente a quanto stabilito dai criteri giurisprudenziali succitati. Per questi motivi il TCA non ha quindi motivo di scostarsi dalle conclusioni peritali che risultano affidabili (cfr. STFA del 27 febbraio 1998 in re S.S consid. 2b). Questa soluzione si giustifica tanto più se si considera che l’amministrazione, viste le censure ricorsuali, ha indetto un sopralluogo in presenza della ricorrente e del suo patrocinatore ed ha provveduto al riesame completo delle valutazioni oggetto della perizia 2 agosto 2000 (doc. _). In questo contesto i periti, confermando il referto peritale succitato, hanno pure tenuto conto dell’importanza della località in cui siede la proprietà, dei prezzi pagati nelle contrattazioni pubbliche e private di compravendita negli ultimi anni, del valore dei fabbricati in rapporto con le dimensioni, il genere della costruzione, i comodi e gli incomodi di abitabilità o d’utilizzazione, lo stato di conservazione e, infine, delle norme pianificatorie dettate dal Piano regolatore, la posizione, le dimensioni, le caratteristiche fisiche, ecc. (cfr. consid. 1.7.). 2.9.   Con il ricorso l’assicurata ha chiesto anche l’esperimento di un sopralluogo ed una perizia giudiziaria. Al proposito, posto che la prima richiesta è già stata evasa pendente causa (cfr. doc. _, consid. 1.7. e 2.7.), in aggiunta a quanto esposto sub 2.7 e 2.8 si rileva che nuovi accertamenti sono superflui quando tutti gli elementi necessari ai fini di una valutazione corretta del valore venale di un fondo, alla data decisiva, sono già disponibili nell'incarto (cfr. STFA del 14 luglio 2000 nella causa M.T., I 35/00; STFA del 5 giugno 2000 nella causa V.P., I 76/00; DTF 124 V 94 consid. 4b; 122 V 162 consid. 1d; 122 III 223 consid. 3c; 122 II 469 consid. 4a; DTF 120 Ib 229 consid. 2b; 119 V 344 consid. 3c). Al proposito, va poi ritenuto come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STFA del 13 novembre 2000 nella causa F.S., H 238/98; DTF 124 V 94; DTF 120 Ib 229 consid. 2b, 119 V 344 consid. 3c e rinvii). Tale modo di procedere non costituisce una violazione del diritto di essere sentito ai sensi dell’art. 4 cpv. 1 CF, corrispondente all'art. 29 cpv. 2 della nuova CF (DTF 122 V 162 consid. 1d, 119 V 344 consid. 3c e rinvii). 2.10.   In conclusione, considerato che il valore venale complessivo dei beni immobili di proprietà dell'assicurata è pari a fr. 58'333.— (1/3 di fr. 175'000.--) il totale dei redditi determinanti corrisponde a fr. 31'501.— nel 1998, fr. 31'729.- nel 1999 e nel 2000. Visto il fabbisogno della signora __________, che assomma a fr. 33'912.— nel 1998, fr. 33'926.- nel 1999 ed a fr. 33'951.-- nel 2000, deve esserle erogata una prestazione complementare annua di fr. 2'411.— per il 1998, di frs. 2'197.- per il 1999 e di fr. 2'222.- a decorrere dal 1° gennaio 2000 come peraltro correttamente ritenuto dall’amministrazione. Al riguardo va segnalato che l'art. 26 OPC concernente l'ammontare minimo della prestazione complementare annua, prevede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forfettario annuo per l'assicurazione obbligatoria malattie secondo l'articolo 3b cpv. 3 lett. d LPC." Queste due disposizioni, entrate in vigore il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Va, comunque, osservato che il premio lordo della LAMal viene finanziato in parte attraverso la LPC, tramite il trasferimento di un importo pari al premio medio cantonale, e in parte attraverso i sussidi LAMal. Le prestazioni complementari annue di cui è beneficiaria l'assicurata, sono in ogni caso inferiori al sussidio cantonale annuo dell’assicurazione malattia. Pertanto, alla luce della legislazione federale e cantonale, occorre concludere che la ricorrente ha diritto unicamente al pagamento integrale del premio relativo all'assicurazione obbligatoria contro le malattie, come peraltro correttamente ammesso dalla Cassa (cfr. doc. _). In simili condizioni, questo TCA non può che confermare la decisione impugnata e respingere l’impugnativa.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