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33.2000.71 vom 25. Juli 2000</w:t>
      </w:r>
    </w:p>
    <w:p>
      <w:r>
        <w:t>TI Tribunale d'appello, 2000-07-25, IT</w:t>
      </w:r>
    </w:p>
    <w:p>
      <w:r>
        <w:rPr>
          <w:b/>
        </w:rPr>
        <w:t xml:space="preserve">Quelle: </w:t>
      </w:r>
      <w:r>
        <w:t>https://mcp.opencaselaw.ch/entscheid/ti_gerichte_33.2000.71</w:t>
      </w:r>
    </w:p>
    <w:p>
      <w:r>
        <w:t>FR: TI_GERICHTE 33.2000.71 du 25 juillet 2000</w:t>
      </w:r>
    </w:p>
    <w:p>
      <w:r>
        <w:t>IT: TI_GERICHTE 33.2000.71 del 25 luglio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2.11</w:t>
      </w:r>
    </w:p>
    <w:p>
      <w:r>
        <w:t>In simili condizioni, pur ammettendo la riduzione della sostanza immobiliare di proprietà dell’assicurata da fr. 52'320.— a fr. 42'800.— (cfr. consid. 2.6.), i redditi determinanti eccedono il suo fabbisogno vitale, giustificandosi il rifiuto di una prestazione complementare mensile. Per gli stessi motivi, deve essere pure rifiutata l’assegnazione di una PC al defunto marito (cfr. consid. 1.2.). Il gravame deve essere dunque respinto e la decisione impugnata confermata.</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norma dell'art. 3b cpv. 3 LPC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Inoltre, giusta l’art. 3c cpv. 1 LPC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Con il ricorso l’assicurata contesta il valore venale della sostanza immobiliare di sua proprietà sita nel Canton __________, in quanto sarebbe troppo elevato. In particolare, ella sostiene che ai fini del calcolo della PC invece del valore catastale (fr. 52'320.--) computato dalla Cassa sulla base della tassazione dell'Ufficio comunale di __________ andrebbe computato il valore venale dello stabile per un importo di fr. 42'800.-- e meglio come stabilito dall’arch. __________ nella sua perizia di parte 21 agosto 2000 (doc. _). Per l’art. 3c cpv. 7 lett. b LPC il Consiglio federale disciplina la valutazione dei redditi determinanti, delle spese riconosciute, nonché della sostanza. Secondo l'art. 17 OPC -AVS/AI, nella versione in vigore dal 1 gennaio 1999 " La valutazione della sostanza computabile deve essere effettuata secondo le regole stabilite dalla legislazione sull'imposta cantonale diretta del Cantone di domicilio (cpv. 1). La sostanza immobiliare che non serve di abitazione al richiedente o a una persona compresa nel calcolo delle prestazioni complementari deve essere computata al valore corrente (cpv. 4).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 (cpv. 5).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I capoversi 2 e 3 sono invece stati abrogati con effetto dal 31 dicembre 1998. Se, quindi, la sostanza immobiliare serve di abitazione dell'assicurato, fa stato il cpv. 1 dell'art. 17 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2.5.   Nel caso di specie, l’appartamento dell’assicurata non le serve da abitazione primaria, in quanto risiede a __________. Alla luce della giurisprudenza federale citata (cfr. consid. 2.4.), la sostanza immobilaire di proprietà dell’assicurata sita nel Canton __________ deve essere computata al valore corrente ai sensi dell’art. 17 cpv. 4 OPC. Al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2.6.   In concreto, la Cassa, fondandosi su un’attestazione dell’Ufficio catasto del comune di __________, ha computato il valore catastale dell’immobile per un importo di fr. 52'320.— ai fini del calcolo della PC. L’assicurata contesta questo modo di procedere rilevando che determinante per il calcolo della prestazione complementare sarebbe il valore venale dello stabile che, secondo quanto stabilito dall’arch. __________ nella perizia 21 agosto 2000, ammonta a fr. 42'800.-- (cfr. doc. _). Pendente causa, questo Tribunale ha chiesto alla Cassa su quali basi legali, nel Canton __________, il valore catastale dell’immobile in questione fosse considerato valore corrente ai sensi dell’art. 17 cpv. 4 OPC, invitando inoltre l’Ufficio stima a formulare le proprie osservazioni sulla perizia testé citata. Il 15 febbraio 2001 l’Ufficio stima ha osservato quanto segue: “ (…) 1. Il valore catastale a detta del signor __________ della commissione cantonale delle tasse catastali, corrisponde al valore venale al momento della determinazione dell’ultima revisione generale delle stime che risale al 1976. A detta dello stesso, attualmente questi valori possono variare sensibilmente per diversi fattori che ne influenzano l’evoluzione; può capitare che a distanza di pochi anni i valori di mercato diminuiscano per determinate regioni, mentre per altre aumentino. 2. Dal riesame della perizia, da parte della commissione cantonale delle tasse catastali, risulta che il valore stabilito dall’arch. __________ corrisponde al valore venale attuale.” (doc. _). Al proposito, va ricordato che in una recente sentenza pubblicata in DTF 126 V 252 e seg., concernente il computo degli interessi ipotecari quali spese riconosciute ai fini del calcolo della PC, il TFA ha avuto modo di statuire sul calcolo del valore catastale degli immobili nel Canton Vallese. In particolare, l’Alta Corte ha precisato che il valore catastale, determinante per stabilire il valore fiscale degli immobili, corrisponde alla media tra il valore venale ed il valore di reddito dell’immobile (cfr. DTF 126 V 255). Esso non corrisponde dunque al valore corrente ai sensi dell’art. 17 cpv. 4 OPC.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di 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cfr. pure SVR 2001 IV nr. 8). La citata giurisprudenza del TFA, applicata in particolare per i referti medici, deve valere per tutte le perizie (cfr. ad esempio per la previdenza professionale SVR 1998 LPP no. 16), e quindi deve essere applicata anche per quelle esperite immobiliari (cfr. STCA del 24 febbraio 1997 in re L.M). Alla luce di quanto precede, viste pure le osservazioni dell’Ufficio stima, il valore venale dell’appartamento dell’assicurata (fr. 42'800.--) deve essere posto alla base del presente giudizio, a prescindere dalla legislazione fiscale __________. La perizia si fonda peraltro su accertamenti approfonditi, esperiti da uno specialista nel ramo, il quale si è fondato su criteri generalmente applicabili in questo ambito. In particolare, essa giunge a conclusioni logiche, conformemente a quanto stabilito dai criteri giurisprudenziali succitati. Per questi motivi, il TCA non ha nessun motivo di scostarsi, in quanto affidabile, dalla valutazione peritale dell’arch. __________ di seguito approvata dall’Ufficio cantonale di stima. Alla luce di tutto quanto precede, si giustifica la riduzione del valore venale dell’immobile di proprietà dell’assicurata a fr. 42'800.—. 2.7.   Con il ricorso l’assicurata contesta il calcolo della sostanza mobiliare depositata sul conto di risparmio __________ no. __________ che, a suo dire, assommerebbe a fr. 59'154.05 (cfr. doc. _) e non a fr. 71'167.-- come stabilito dalla Cassa ai fini del calcolo della PC. In particolare, ella ritiene che da questo importo debbano essere dedotte le spese funerarie (doc. _), i costi burocratici legati al decesso di suo marito (rilascio dell’atto d’origine e certificato di morte, doc. _) ed i canoni di locazione versati direttamente dalla banca a decorrere dal settembre 2000 (cfr. doc. _). Tali censure non possono essere accolte. Infatti, la lista dei costi considerabili ai fini del calcolo della PC (cfr. art. 3b LPC, consid. 2.3.) è esaustiva e le disposizioni in esame sono di diritto federale imperativo (E. Carigiet, Ergänzungsleistungen zur AHV/IV, Zurigo 1995, p. 135; e Ergänzungsband, Zurigo 2000, p. 83). Le spese che non rientrano nell'elenco succitato non possono quindi essere ammesse. In simili circostanze, a giusta ragione, la Cassa di compensazione non ha dedotto gli importi concernenti le spese funerarie e di rilascio dei certificati sopra menzionati. Per quanto attiene alle spese di pigione, occorre rilevare che secondo l’art. 3b cpv. 1 lett. b LPC, in vigore dal 1. gennaio 1998, per il calcolo della PC si tiene conto della pigione senza deduzione di alcuna franchigia e delle spese accessorie. L’art. 5 LPC precisa inoltre che " I Cantoni stabiliscono l’importo delle spese di pigione giusta l’articolo 3b capoverso 1 lettera b fino a concorrenza, in un anno, di 1. 12’000 franchi per le persone sole, 2. 13’800 franchi per i coniugi e le persone con figli che hanno o danno diritto a una rendita." Per l'art. 16a OPC AVS AI infine nei confronti di persone che abitano un immobile di loro proprietà per le spese accessorie è previsto soltanto un forfait (cpv. 1) che è pari a fr. 1'680 annui (cpv. 3). In concreto, l’assicurata sostiene che a far tempo dal settembre 2000 il canone di locazione dell’appartamento in cui vive non deve esserle più computato ai fini del calcolo della PC, essendo lo stesso pagato direttamente dalla banca. Questo TCA, chiamato ora a pronunciarsi, ritiene invece che la titolarità del diritto, segnatamente la qualità di conduttrice, spetta tuttora alla signora __________, subentrata nella locazione a seguito della morte del di lei marito (cfr. contratto</w:t>
      </w:r>
    </w:p>
    <w:p>
      <w:r>
        <w:rPr>
          <w:b/>
        </w:rPr>
        <w:t>E. 4</w:t>
      </w:r>
    </w:p>
    <w:p>
      <w:r>
        <w:t>gennaio 2000, doc. _). È dunque ininfluente il fatto che la banca provveda direttamente al pagamento della pigione, come irrilevante è il causale di tale bonifico: questa incombe all’assicurata e deve essere pertanto computata ai fini dell’attribuzione della PC. Del resto, l’esclusione della pigione dal calcolo del suo fabbisogno le sarebbe soltanto di aggravio. Inoltre, va rilevato che secondo l'art. 23 cpv. 1 e 2 OPC AVS-AI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Giusta il cpv. 4 dell'art. 23 OPC se la persona che pretende una prestazione complementare annua può rendere plausibile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(cfr. pure Direttive UFAS sulle prestazioni complementari all'AVS/AI, cifra 7004). Nel caso di specie risulta dagli atti che il conto bancario della ricorrente presso __________ ammontava, il 21 gennaio 2000 a fr. 71'167.85 (cfr. atti dell'amministrazione). Questo importo è dunque determinante ai fini del calcolo della prestazione complementare dell'assicurata per l’anno 2000 come peraltro correttamente considerato dalla Cassa. In simili condizioni, tutto ciò considerato, il calcolo effettuato dall'amministrazione risulta conforme alle disposizioni ed alla giurisprudenza federale applicabili in materia. La decisione della Cassa è pertanto corretta e va confermata, mentre la nuova situazione finanziaria della ricorrente, potrà, se del caso, costituire l’oggetto di una nuova decisione amministrativa. 2.8.   Con il ricorso la ricorrente contesta anche il computo dell’importo di fr. 30'000.— a titolo di sostanza alienata (cfr. pos. 49 della tabella di calcolo PC). Al proposito, è bene rilevare che di principio per stabilire il diritto alla PC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che vi è rinuncia di sostanza ai sensi dell’art. 3c cpv. 1 lett. g (cfr. vecchio art. 3 cpv. 1 lett. f LPC; RDAT I 1994 p. 189 consid. 3a; RCC 1989 p. 350 consid. 3b). In conclusione, quindi, lo scopo dell’art. 3c cpv. 1 lett. g LPC consiste avantutto nell’evitare che un assicurato si spogli di tutto o di una parte dei suoi beni a favore di terzi, senza obbligo giuridico ed in modo da diminuire il reddito che determina il diritto alla prestazioni. Nel caso in cui tuttavia l’assicurato spende la sua fortuna per acquistare dei beni di consumo o per migliorare livello di vita dispone della sua libertà personale, di conseguenza l’art. 3c cpv. 1 lett. g LPC non torna applicabile (DTF 115 V 354). 2.9.   Nel caso di specie, la Cassa di compensazione ha computato a titolo di sostanza alienata fr. 30'000.— (cfr. doc. _). L’assicurata, dal canto suo, ritiene che si tratta di un importo inesistente e puramente fantasioso (cfr. doc. _). Dagli atti risulta che “negli ultimi anni” la ricorrente ha devoluto ai figli __________ ed __________ gli importi di frs. 10'000.- rispettivamente frs. 60'000.— a titolo di donazione gratuita, segnatamente come “aiuto economico” (cfr. dichiarazioni datate 30 giugno 2000 dei figli __________ ed __________ agli atti dell’amministrazione). A mente della scrivente Corte, quindi, sono ravvisabili i presupposti di una rinuncia di sostanza ai sensi dell’art. 3c cpv. 1 lett. g LPC. Ora, per quanto attiene alle modalità di calcolo effettuate dalla Cassa, è bene rilevare che ai sensi dell’art. 17a cpv. 1 OPC, entrato in vigore soltanto il 1° gennaio 1990, l’importo computabile delle parti di sostanza alle quali si è rinunciato, è ridotto annualmente di frs. 10'000.--. Il valore della sostanza al momento della rinuncia deve essere riportato invariato al 1° gennaio dell’anno seguente la rinuncia e, in seguito, ridotto ogni anno (cfr.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ed alla Costituzione da parte del TFA (Pratique VSI 1994 pag. 162, RCC 1992 pag. 436). La giurisprudenza, inoltre, ha precisato che la sostanza dev’essere ripresa integralmente il 1° gennaio 1990 e ridotta in seguito annualmente, la prima volta il 1° gennaio 1991 (DTF 119 V 487; STFA non pubbl. del 21 dicembre 1990 in re V.A.). Dal 1° gennaio 1995 è inoltre modificato il tenore dell’art. 17a cpv. 3 OPC secondo cui per il calcolo della PC annua è determinante l’importo ridotto della sostanza al 1° gennaio dell’anno per cui è assegnata la prestazione. 2.10.   Nel caso presente, dalla notifica di tassazione 17 novembre 1997 agli atti, emerge che la sostanza di __________ depositata sul conto bancario __________ ammontava a fr. 151’818.—. Nel biennio seguente, questa somma è diminuita sino a fr. 98'433.— (cfr. notifica di tassazione 1999/2000). Infine, dalla ricevuta di prelevamento bancario del 21 gennaio 2000 risulta un’ennesima erosione della sostanza mobiliare dell’assicurata che assomma a fr. 76'167.85. Dagli atti dell’incarto si evince pure che “negli ultimi anni” ed “in diverse occasioni” (cfr. dichiarazioni scritte 30 giugno 2000 agli atti) i figli __________ ed __________ hanno ricevuto dalla madre complessivamente fr. 70'000.— a titolo di donazione gratuita. Alla luce delle concrete circostanze, il momento a cui far risalire la donazione ai fini del calcolo dell’ammortamento ai sensi dell’art. 17a OPC, deve essere situato al più tardi a decorrere dal 1997. Correttamente, quindi, la Cassa ha computato l’importo di frs. 30'000.— a titolo di sostanza alienata dalla signora __________ a favore dei di lei figli __________ ed __________. Anche sotto questo aspetto, merita dunque tutela l’operato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