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33.2000.69 vom 25. Juli 2000</w:t>
      </w:r>
    </w:p>
    <w:p>
      <w:r>
        <w:t>TI Tribunale d'appello, 2000-07-25, IT</w:t>
      </w:r>
    </w:p>
    <w:p>
      <w:r>
        <w:rPr>
          <w:b/>
        </w:rPr>
        <w:t xml:space="preserve">Quelle: </w:t>
      </w:r>
      <w:r>
        <w:t>https://mcp.opencaselaw.ch/entscheid/ti_gerichte_33.2000.69</w:t>
      </w:r>
    </w:p>
    <w:p>
      <w:r>
        <w:t>FR: TI_GERICHTE 33.2000.69 du 25 juillet 2000</w:t>
      </w:r>
    </w:p>
    <w:p>
      <w:r>
        <w:t>IT: TI_GERICHTE 33.2000.69 del 25 luglio 2000</w:t>
      </w:r>
    </w:p>
    <w:p>
      <w:pPr>
        <w:pStyle w:val="Heading2"/>
      </w:pPr>
      <w:r>
        <w:t>Regeste</w:t>
      </w:r>
    </w:p>
    <w:p>
      <w:r>
        <w:t>Sentenza o decisione senza scheda</w:t>
      </w:r>
    </w:p>
    <w:p>
      <w:pPr>
        <w:pStyle w:val="Heading2"/>
      </w:pPr>
      <w:r>
        <w:t>Erwägungen</w:t>
      </w:r>
    </w:p>
    <w:p>
      <w:r>
        <w:rPr>
          <w:b/>
        </w:rPr>
        <w:t>E. 1</w:t>
      </w:r>
    </w:p>
    <w:p>
      <w:r>
        <w:t>gennaio 1990 e ridotta in seguito annualmente, la prima volta il 1. gennaio 1991 (DTF 119 V 487; STFA non pubbl. del 21 dicembre 1990 in re V.A.) Dal 1. gennaio 1995 è inoltre stato modificato il tenore dell’art. 17a cpv. 3 OPC il quale prevede che " per il computo della prestazione complementare è determinante l’importo ridotto della sostanza al 1. gennaio dell’anno in cui la prestazione è corrisposta”. Nel caso concreto, l'immobile no. __________RFD di __________ è stato ceduto nel 1998; gli ammortamenti sono quindi pari a fr. 10'000, come correttamente ritenuto dalla Cassa (doc. _). 2.11.   Nel proprio ricorso l'assicurata ha chiesto una controperizia tendente a stabilire il valore corretto ed equo delle sue proprietà immobiliari (cfr. consid. 1.2.). Il TCA rileva che la richiesta di un'ulteriore perizia può essere rifiutata quando tutti gli elementi necessari ai fini di una valutazione corretta del valore venale di un fondo, alla data decisiva, sono già disponibili nell'incarto per cui nuovi accertamenti sarebbero superflui (cfr. STFA del 14 luglio 2000 nella causa M.T., I 35/00; STFA del 5 giugno 2000 nella causa V.P., I 76/00; DTF 124 V 94 consid. 4b; 122 V 162 consid. 1d; 122 III 223 consid. 3c; 122 II 469 consid. 4a; DTF 120 Ib 229 consid. 2b; 119 V 344 consid. 3c). Infatti,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STFA del 13 novembre 2000 nella causa F.S., H 238/98; DTF 124 V 94; DTF 120 Ib 229 consid. 2b, 119 V 344 consid. 3c e rinvii). Tale modo di procedere non costituisce una violazione del diritto di essere sentito ai sensi dell’art. 4 cpv. 1 CF, corrispondente all'art. 29 cpv. 2 della nuova CF (DTF 122 V 162 consid. 1d, 119 V 344 consid. 3c e rinvii). In concreto la fattispecie deve essere considerata sufficientemente chiarita dall'esame degli atti dell'incarto, per cui questo Tribunale rinuncia ad esperire una controperizia. 2.12.   Poiché il valore venale complessivo della sostanza immobiliare alienata dall'assicurata, al netto degli ammortamenti e dei debiti ipotecari (cfr. doc. all. _), è pari a fr. 226'250.--, il totale dei redditi determinanti corrisponde a fr. 34'454.--, come peraltro correttamente ritenuto dalla Cassa nel calcolo della PC (cfr. doc. _). Tenendo conto che il fabbisogno della signora __________ è di fr. 33'951.--, il TCA non può che confermare 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