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33.2000.49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https://mcp.opencaselaw.ch/entscheid/ti_gerichte_33.2000.49</w:t>
      </w:r>
    </w:p>
    <w:p>
      <w:r>
        <w:t>FR: TI_GERICHTE 33.2000.49 du 15 juin 2000</w:t>
      </w:r>
    </w:p>
    <w:p>
      <w:r>
        <w:t>IT: TI_GERICHTE 33.2000.49 del 15 giugno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n.33.2000.00049</w:t>
      </w:r>
    </w:p>
    <w:p>
      <w:r>
        <w:t>dc/gm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24 giugno 2000 interposto da</w:t>
      </w:r>
    </w:p>
    <w:p>
      <w:r>
        <w:t>__________</w:t>
      </w:r>
    </w:p>
    <w:p>
      <w:r>
        <w:t>contro</w:t>
      </w:r>
    </w:p>
    <w:p>
      <w:r>
        <w:t>la decisione del 15 giugno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24 novembre 2000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comunque anche il ricorrente, con scritto 4 dicembre 2000 (cfr. Doc. _), ha comunicato il ritiro del ricorso aderendo alla nuova decisione della cassa.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