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33.2000.39 vom 13. April 2000</w:t>
      </w:r>
    </w:p>
    <w:p>
      <w:r>
        <w:t>TI Tribunale d'appello, 2000-04-13, IT</w:t>
      </w:r>
    </w:p>
    <w:p>
      <w:r>
        <w:rPr>
          <w:b/>
        </w:rPr>
        <w:t xml:space="preserve">Quelle: </w:t>
      </w:r>
      <w:r>
        <w:t>https://mcp.opencaselaw.ch/entscheid/ti_gerichte_33.2000.39</w:t>
      </w:r>
    </w:p>
    <w:p>
      <w:r>
        <w:t>FR: TI_GERICHTE 33.2000.39 du 13 avril 2000</w:t>
      </w:r>
    </w:p>
    <w:p>
      <w:r>
        <w:t>IT: TI_GERICHTE 33.2000.39 del 13 aprile 2000</w:t>
      </w:r>
    </w:p>
    <w:p>
      <w:pPr>
        <w:pStyle w:val="Heading2"/>
      </w:pPr>
      <w:r>
        <w:t>Volltext</w:t>
      </w:r>
    </w:p>
    <w:p>
      <w:r>
        <w:t>Incarto n.33.2000.00039</w:t>
      </w:r>
    </w:p>
    <w:p>
      <w:r>
        <w:t>dc/gm</w:t>
      </w:r>
    </w:p>
    <w:p>
      <w:r>
        <w:t>Lugano</w:t>
      </w:r>
    </w:p>
    <w:p>
      <w:r>
        <w:t>8 giugno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15 maggio 2000 interposto da</w:t>
      </w:r>
    </w:p>
    <w:p>
      <w:r>
        <w:t>__________</w:t>
      </w:r>
    </w:p>
    <w:p>
      <w:r>
        <w:t>contro</w:t>
      </w:r>
    </w:p>
    <w:p>
      <w:r>
        <w:t>la decisione del 13 aprile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17 maggio 2000 con la quale è stato assegnato alla cassa il termine di rito per presentare la risposta di causa;</w:t>
      </w:r>
    </w:p>
    <w:p>
      <w:r>
        <w:t>rilevato che in data 25 maggio 2000 la cassa ha intimato al ricorrente una nuova decisione che accoglie parzialmente il rimborso delle spese di malattia oggetto della vertenza;</w:t>
      </w:r>
    </w:p>
    <w:p>
      <w:r>
        <w:t>visto il successivo scritto 6 giugno 2000 col quale l'insorgente comunica il ritiro del ricorso;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