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33.2000.37 vom 19. Februar 2001</w:t>
      </w:r>
    </w:p>
    <w:p>
      <w:r>
        <w:t>TI Tribunale d'appello, 2001-02-19, IT</w:t>
      </w:r>
    </w:p>
    <w:p>
      <w:r>
        <w:rPr>
          <w:b/>
        </w:rPr>
        <w:t xml:space="preserve">Quelle: </w:t>
      </w:r>
      <w:r>
        <w:t>https://mcp.opencaselaw.ch/entscheid/ti_gerichte_33.2000.37</w:t>
      </w:r>
    </w:p>
    <w:p>
      <w:r>
        <w:t>FR: TI_GERICHTE 33.2000.37 du 19 février 2001</w:t>
      </w:r>
    </w:p>
    <w:p>
      <w:r>
        <w:t>IT: TI_GERICHTE 33.2000.37 del 19 febbraio 2001</w:t>
      </w:r>
    </w:p>
    <w:p>
      <w:pPr>
        <w:pStyle w:val="Heading2"/>
      </w:pPr>
      <w:r>
        <w:t>Regeste</w:t>
      </w:r>
    </w:p>
    <w:p>
      <w:r>
        <w:t>Sentenza o decisione senza scheda</w:t>
      </w:r>
    </w:p>
    <w:p>
      <w:pPr>
        <w:pStyle w:val="Heading2"/>
      </w:pPr>
      <w:r>
        <w:t>Erwägungen</w:t>
      </w:r>
    </w:p>
    <w:p>
      <w:r>
        <w:rPr>
          <w:b/>
        </w:rPr>
        <w:t>E. 1</w:t>
      </w:r>
    </w:p>
    <w:p>
      <w:r>
        <w:t>per le persone sole, almeno 14 690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le persone che vivono a casa e per le persone che vivono in un istituto sono inoltre riconosciute le spese seguenti: " a.spese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è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2.4.   Con il ricorso gli assicurati contestano il valore venale della sostanza immobiliare di proprietà della moglie, computato ai fini del calcolo della PC per un importo complessivo di fr. 295'000.--, in quanto sarebbe troppo elevato rispetto al valore di stima di fr. 96'226.--. L’art. 3a cpv. 7 lett. b LPC prevede che il Consiglio federale disciplina la valutazione dei redditi determinanti, delle spese riconosciute, nonché della sostanza. Secondo l'art. 17 OPC -AVS/AI, nella versione in vigore fino al 31 dicembre 1998 "1) La valutazione della sostanza computabile deve essere effettuata secondo le regole stabilite dalla legislazione sull'imposta cantonale diretta del Cantone di domicilio. 2) Se tali regole non esistono, la sostanza computabile deve essere valutata secondo le regole stabilite per le persone morali dalla legislazione sull'imposta federale diretta. 3) I Cantoni possono considerare quali determinanti le regole che la legislazione sull'imposta federale diretta stabilisce per le persone morali. 4) La sostanza immobiliare che non serve di abitazione al richiedente o a una persona compresa nel calcolo delle prestazioni complementari deve essere computata al valore corrente." Se la sostanza immobiliare serve di abitazione dell'assicurato, fa stato il cpv. 1 dell'art. 17 OPC, secondo il quale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2.5.   Con effetto dal 1 gennaio 1999 i capoversi 2 e 3 dell’art. 17 sono stati abrogati, mentre sono stati aggiunti i capoversi 5 e 6, del seguente tenore: "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Invece del valore venale, i Cantoni possono applicare uniformemente il valore di ripartizione determinante per la ripartizione fiscale intercantonale." La modalità di calcolo prevista dal capoverso 6 non è stata fatta propria dal Canton Ticino, che continua a fondarsi su quanto stabilito al capoverso 4 e sulla giurisprudenza sviluppatasi sulla base di questa disposizione. 2.6.   Nella fattispecie l'immobile appartenente alla signora __________ e, sito nel Comune di __________, non serve da abitazione alla coppia, la quale in virtù di un contratto di locazione vive a __________ in un'abitazione familiare di proprietà della figlia (cfr. atti dell'amministrazione). Correttamente, quindi, la Cassa di compensazione ha computato il valore venale del fondo di __________ (cfr. consid. 2.5.).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2.7.   L'Ufficio stima, con perizia 28 febbraio 2000, ha stabilito in fr. 295'000.-- il valore venale dell'immobile della moglie dell'assicurato.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in re L.M). 2.8.   In concreto dal rapporto peritale (cfr. atti dell'amministrazione) emerge che la particella n° __________RFD, sita in una zona di PR a insediamento particolare R3, è composta di abitazione, portico, sottoscala e prato, corrispondente a complessivi mq 1'651. Si tratta in particolare di una casa di vacanza bifamiliare costruita negli anni '70, ubicata a sud del nucleo di __________ in una zona tranquilla, caratterizzata da costruzioni unifamiliari e bifamiliari. Le installazioni e gli arredamenti dell'abitazione hanno uno standard di rifiniture semplice e lo stato di conservazione è buono. L'accesso alla strada comunale è sì diretto, tuttavia il sentierino che conduce alla via pubblica è pericoloso e non adeguato all'abitazione. Dalla descrizione summenzionata risulta evidente che i periti hanno tenuto conto delle caratteristiche del fondo in questione. Occorre pertanto concludere che non vi sono elementi atti a mettere in discussione la correttezza della perizia. Del resto quest'ultima si fonda su accertamenti approfonditi, esperiti da specialisti nel ramo, che si sono fondati su criteri generalmente applicabili in questo ambito. Essa giunge inoltre a conclusioni logiche, conformemente a quanto stabilito dai criteri giurisprudenziali succitati. Va, peraltro, segnalato che i ricorrenti non hanno contestato la perizia (cfr. consid. 1.5.) e dunque nemmeno hanno invocato argomenti attendibili per censurare il risultato a cui sono giunti i periti. Per tutti questi motivi il TCA non ha quindi motivo di scostarsi dalle conclusioni peritali che risultano affidabili (cfr. STFA del 27 febbraio 1998 in re S.S consid. 2b). In simili condizioni le decisioni impugnate non possono che essere confermate, in quanto il valore della sostanza computato dalla Cassa è corretto.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