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33.2000.104 vom 24. November 2000</w:t>
      </w:r>
    </w:p>
    <w:p>
      <w:r>
        <w:t>TI Tribunale d'appello, 2000-11-24, IT</w:t>
      </w:r>
    </w:p>
    <w:p>
      <w:r>
        <w:rPr>
          <w:b/>
        </w:rPr>
        <w:t xml:space="preserve">Quelle: </w:t>
      </w:r>
      <w:r>
        <w:t>https://mcp.opencaselaw.ch/entscheid/ti_gerichte_33.2000.104</w:t>
      </w:r>
    </w:p>
    <w:p>
      <w:r>
        <w:t>FR: TI_GERICHTE 33.2000.104 du 24 novembre 2000</w:t>
      </w:r>
    </w:p>
    <w:p>
      <w:r>
        <w:t>IT: TI_GERICHTE 33.2000.104 del 24 novembre 2000</w:t>
      </w:r>
    </w:p>
    <w:p>
      <w:pPr>
        <w:pStyle w:val="Heading2"/>
      </w:pPr>
      <w:r>
        <w:t>Regeste</w:t>
      </w:r>
    </w:p>
    <w:p>
      <w:r>
        <w:t>Sentenza o decisione senza scheda</w:t>
      </w:r>
    </w:p>
    <w:p>
      <w:pPr>
        <w:pStyle w:val="Heading2"/>
      </w:pPr>
      <w:r>
        <w:t>Erwägungen</w:t>
      </w:r>
    </w:p>
    <w:p>
      <w:r>
        <w:rPr>
          <w:b/>
        </w:rPr>
        <w:t>E. 2</w:t>
      </w:r>
    </w:p>
    <w:p>
      <w:r>
        <w:t>e 3 sono invece stati abrogati con effetto dal 31 dicembre 1998. Se, quindi, la sostanza immobiliare serve di abitazione dell'assicurato, fa stato il cpv. 1 dell'art. 17 OPC, secondo cui la valutazione della sostanza computabile deve essere effettuata secondo le regole stabilite dalla legislazione sull'imposta cantonale diretta del Cantone di domicilio. La norma in questione vuole facilitare l'amministrazione cantonale nell'accertamento della sostanza, permettendole di riprendere il valore direttamente dalla tassazione fiscale, senza dover ricalcolare lei stessa l'importo da computare (RCC 1991 pag. 422). Secondo la volontà del legislatore, dunque dal 1° gennaio 1992 la sostanza deve essere, di principio, esposta al valore considerato in sede fiscale cantonale prima della deduzione degli importi esenti da imposta (Direttive UFAS sulle prestazioni complementari all'AVS/AI, cifra 2109). A norma dell'art. 52 cpv. 1 LT gli immobili e i loro accessori nel Cantone sono imposti per il valore di stima ufficiale. Ne consegue che la sostanza immobiliare è computata sulla base del suo valore di stima ufficiale (STFA 8 ottobre 1992 nella causa N.G., pubblicata in RDAT I-1993, pag. 232). A tale disposizione fa tuttavia eccezione il capoverso 4, nella misura in cui la sostanza immobiliare che non serve da abitazione all’assicurato deve essere computata non già al valore determinato in sede fiscale, bensì al suo valore corrente (valeur vénale, Verkehrswert; Pratique VSI 1994 p. 194). Questa distinzione si fonda sul fatto che il valore corrente o valore venale, vale a dire il valore che raggiunge un immobile nel corso di normali transazioni commerciali, è in genere più elevato del valore fiscale (RCC 1991 p. 424). Con valore venale si intende altresì il prezzo pagato per dei fondi agricoli secondo le leggi di mercato (Pratique VSI 1994 p. 194). Nella misura in cui la sostanza non serve più da abitazione al richiedente o ad una persona compresa nel calcolo della prestazione complementare, il legislatore ha voluto che venisse imputato il valore che l’immobile rappresenta effettivamente sul mercato. Non sarebbe infatti corretto che agli assicurati fosse consentito di mantenere la sostanza a vantaggio degli eredi grazie alle prestazioni complementari. I titolari di carte valori e libretti di risparmio non devono essere trattati peggio dei proprietari immobiliari (Pratique VSI 1994 p. 195; RCC 1991 p. 424). In una sentenza pubblicata in VSI 1994 p. 290 il TFA ha specificato che tale disposizione è applicabile solo se il richiedente (o un’altra persona compresa nel calcolo delle prestazioni complementari) non abita personalmente nell’immobile di sua proprietà. 2.8.   Nella presente fattispecie gli immobili dell'assicurata, oggetto del contendere, non le servono da abitazione primaria, in quanto ella risiede nell’abitazione ubicata nel nucleo di __________ (cfr. mappale no. __________del Comune di __________). Correttamente, quindi, la Cassa di compensazione ha computato il valore venale degli immobili di sua proprietà. In proposito va rilevato che per determinare il valore commerciale l’amministrazione deve far esperire una perizia da un ufficio competente. Il TCA ha infatti dichiarato illegale la precedente prassi della Cassa, che consisteva nell’aumentare sistematicamente del 30% il valore di stima ufficiale. Applicando questo metodo, nel caso di nuove stime, poteva risultare un valore superiore a quello corrente (RDAT II/1995 p. 203ss.). Secondo la giurisprudenza del TFA, infine, l’ufficio cantonale, per la determinazione del valore corrente degli immobili, deve sempre far capo allo stesso servizio (SVR 1998 LPC No. 5). A mente dell’Alta Corte federale sarebbe infatti inammissibile calcolare l’importo delle prestazioni complementari in base a stime elaborate da autorità differenti (Pratique VSI 1993 p. 137). In concreto la Cassa affida il compito all’Ufficio stima. Al riguardo va ancora rilevato che, il TFA, in un caso riguardante il Canton Ticino, in cui il ricorrente aveva contestato la valutazione immobiliare operata dall’Ufficio cantonale di stima, ha confermato l’operato dei periti (STFA del 27 febbraio 1998 in re S.S). 2.9.   L’Ufficio stima, con perizia immobiliare del 17 novembre 2000, ha stabilito in fr. 89'650.-- il valore venale complessivo delle proprietà immobiliari dell'assicurata. Secondo costante giurisprudenza federale, le perizie mediche eseguite nell’ambito della procedura amministrativa da medici specializzati riconosciuti, hanno forza probatoria piena, fintanto che indizi concreti non inducono a ritenerle inaffidabili, se giungono a conclusioni logiche e sono state realizzate sulla base di accertamenti approfonditi (ZAK 1986 p. 189; RAMI U 167 p. 96; DTF 104 V 212; SZS 1987 p. 237-239; SZS 1988 p. 329 e 332; DTF non pubbl. del 24. 12 1993 in re S. H; Locher, Grundriss des Sozialversicherungsrechts, Berna 1994, p. 332). Lo stesso vale per quel che riguarda perizie dall’amministrazione presso medici esterni (DTF 104 V 31; ZAK 1986 p. 188; RAMI 1993 p. 95). Per quanto concerne il valore probatorio d'un rapporto si deve accertare se è completo per quanto riguarda i temi sollevati, se si riferisce a esami approfonditi, se tien conto delle censure sollevate, se è chiaro nella presentazione e se le conclusioni cui perviene sono fondate. Elemento determinante dal profilo probatorio non è in linea di principio l'origine del mezzo di prova né la  designazione del materiale probatorio richiesto sotto qualifica di rapporto o di perizia, bensì il suo contenuto (DTF 122 V 160 consid. 1c; STFA del 29 settembre 1998 in re S. F). Il giudice non si scosta, senza motivi imperativi dalle risultanze di una perizia, compito del perito essendo infatti proprio quello di mettere a disposizione della giustizia le sue specifiche conoscenze, allo scopo di chiarire gli aspetti specialistici di una determinata fattispecie (DTF 122 V 161). La citata giurisprudenza del TFA, applicata in particolare per i referti medici, deve valere per tutte le perizie (cfr. ad esempio  per la previdenza professionale SVR 1998 LPP no. 16), e quindi deve essere applicata anche per quelle esperite immobiliari (cfr. STCA del 24 febbraio 1997 in re L.M). 2.10.   Con il ricorso l’assicurata sostiene che l’importo computato dalla Cassa a titolo di sostanza fondiaria al valore commerciale è “assolutamente esorbitante” e frutto di un errore di valutazione (doc. _, consid. 1.2.). A mente del TCA, chiamato ora a pronunciarsi, dagli atti formanti l’incarto non si evincono elementi tali da mettere in discussione la correttezza della perizia. Essa si fonda, infatti, su accertamenti approfonditi, esperiti da specialisti nel ramo, i quali si sono fondati su criteri generalmente applicabili in questo ambito. Inoltre, il referto ha tenuto in debita considerazione tutte le caratteristiche e le peculiarità della concreta fattispecie, giungendo a conclusioni logiche e conformi a quanto stabilito dai criteri giurisprudenziali succitati. Dal canto suo, l'assicurata, limitatandosi a contestare in modo generico il valore venale degli immobili di sua proprietà, non ha in alcun modo dimostrato con il grado della verosimiglianza preponderante, valido nelle assicurazioni sociali (SVR 1996 KV Nr. 85 p. 269; SVR 1996 LPC Nr. 22 p. 263ss; DTF 121 V 208 consid. 6a; RAMI 1994 p. 210/211), che i valori immobiliari sarebbero inferiori a quelli stabiliti dai periti. Va peraltro segnalato che __________ non ha contestato la perizia (cfr. consid. 1.5.) e dunque nemmeno ha invocato argomenti attendibili per censurare l’operato e le conclusioni a cui sono giunti i periti. Per questi motivi, il TCA non ha dunque motivo di scostarsi dalle conclusioni peritali che risultano pienamente affidabili (cfr. STFA del 27 febbraio 1998 in re S.S consid. 2b). 2.11.   In conclusione, posto che i redditi determinanti dell’assicurata eccedono il suo fabbisogno vitale, questa Corte non può che confermare, in quanto corretta, la decisione dell’amministrazione.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