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32.2025.89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https://mcp.opencaselaw.ch/entscheid/ti_gerichte_32.2025.89</w:t>
      </w:r>
    </w:p>
    <w:p>
      <w:pPr>
        <w:pStyle w:val="Heading2"/>
      </w:pPr>
      <w:r>
        <w:t>Volltext</w:t>
      </w:r>
    </w:p>
    <w:p>
      <w:r>
        <w:t>Incarto n.32.2025.89</w:t>
      </w:r>
    </w:p>
    <w:p>
      <w:r>
        <w:t>cs</w:t>
      </w:r>
    </w:p>
    <w:p>
      <w:r>
        <w:t>Lugano</w:t>
      </w:r>
    </w:p>
    <w:p>
      <w:r>
        <w:t>27 aprile 2026</w:t>
      </w:r>
    </w:p>
    <w:p>
      <w:r>
        <w:t>In nomedella Repubblica e CantoneTicino</w:t>
      </w:r>
    </w:p>
    <w:p>
      <w:r>
        <w:t>Il Tribunale cantonale delle assicurazioni</w:t>
      </w:r>
    </w:p>
    <w:p>
      <w:r>
        <w:t>composto dei giudici:</w:t>
      </w:r>
    </w:p>
    <w:p>
      <w:r>
        <w:t>Daniele Cattaneo, presidente,</w:t>
      </w:r>
    </w:p>
    <w:p>
      <w:r>
        <w:t>Raffaele Guffi, Ivano Ranzanici</w:t>
      </w:r>
    </w:p>
    <w:p>
      <w:r>
        <w:t>redattore:</w:t>
      </w:r>
    </w:p>
    <w:p>
      <w:r>
        <w:t>Christian Steffen, cancelliere</w:t>
      </w:r>
    </w:p>
    <w:p>
      <w:r>
        <w:t>segretario:</w:t>
      </w:r>
    </w:p>
    <w:p>
      <w:r>
        <w:t>Gianluca Menghetti</w:t>
      </w:r>
    </w:p>
    <w:p>
      <w:r>
        <w:t>statuendo sul ricorso del 23 settembre 2025 di</w:t>
      </w:r>
    </w:p>
    <w:p>
      <w:r>
        <w:t>RI1,______</w:t>
      </w:r>
    </w:p>
    <w:p>
      <w:r>
        <w:t>contro</w:t>
      </w:r>
    </w:p>
    <w:p>
      <w:r>
        <w:t>la decisione del 26 agosto 2025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ritenutoin fatto</w:t>
      </w:r>
    </w:p>
    <w:p>
      <w:r>
        <w:t>consideratoin diritto</w:t>
      </w:r>
    </w:p>
    <w:p>
      <w:r>
        <w:t>in ordine</w:t>
      </w:r>
    </w:p>
    <w:p>
      <w:r>
        <w:t>nel merito</w:t>
      </w:r>
    </w:p>
    <w:p>
      <w:r>
        <w:t>2.12.Secondo l'art. 69 cpv. 1bisLAI la procedura di ricorso dinanzi al tribunale cantonale delle assicurazioni in caso di controversie relative a prestazioni dellAI è soggetta a spese. Lentità delle spese è determinata fra 200 e 1000 franchi in funzione delle spese di procedura e senza riguardo al valore litigioso (cfr. DTF 133 V 402; STF 9C_156/2009 del 7 aprile 2009; STF 8C_393/2008 del 24 settembre 2008).</w:t>
      </w:r>
    </w:p>
    <w:p>
      <w:r>
        <w:t>Visto lesito del ricorso, le spese per complessivi fr. 500 sono poste a carico della ricorrente.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 Il segretario di Camera</w:t>
      </w:r>
    </w:p>
    <w:p>
      <w:r>
        <w:t>Daniele Cattaneo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