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32.2025.87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https://mcp.opencaselaw.ch/entscheid/ti_gerichte_32.2025.87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n.32.2025.87</w:t>
      </w:r>
    </w:p>
    <w:p>
      <w:r>
        <w:t>cs</w:t>
      </w:r>
    </w:p>
    <w:p>
      <w:r>
        <w:t>Lugano</w:t>
      </w:r>
    </w:p>
    <w:p>
      <w:r>
        <w:t>20 aprile 2026</w:t>
      </w:r>
    </w:p>
    <w:p>
      <w:r>
        <w:t>In nomedella Repubblica e CantoneTicino</w:t>
      </w:r>
    </w:p>
    <w:p>
      <w:r>
        <w:t>Il Tribunale cantonale delle assicurazioni</w:t>
      </w:r>
    </w:p>
    <w:p>
      <w:r>
        <w:t>composto dei giudici:</w:t>
      </w:r>
    </w:p>
    <w:p>
      <w:r>
        <w:t>Daniele Cattaneo, presidente,</w:t>
      </w:r>
    </w:p>
    <w:p>
      <w:r>
        <w:t>Raffaele Guffi, Ivano Ranzanici</w:t>
      </w:r>
    </w:p>
    <w:p>
      <w:r>
        <w:t>redattore:</w:t>
      </w:r>
    </w:p>
    <w:p>
      <w:r>
        <w:t>Christian Steffen, cancelliere</w:t>
      </w:r>
    </w:p>
    <w:p>
      <w:r>
        <w:t>segretario:</w:t>
      </w:r>
    </w:p>
    <w:p>
      <w:r>
        <w:t>Gianluca Menghetti</w:t>
      </w:r>
    </w:p>
    <w:p>
      <w:r>
        <w:t>statuendo sul ricorso del 15 settembre 2025 di</w:t>
      </w:r>
    </w:p>
    <w:p>
      <w:r>
        <w:t>RI1,______</w:t>
      </w:r>
    </w:p>
    <w:p>
      <w:r>
        <w:t>contro</w:t>
      </w:r>
    </w:p>
    <w:p>
      <w:r>
        <w:t>la decisione del 13 agosto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consideratoin diritto</w:t>
      </w:r>
    </w:p>
    <w:p>
      <w:r>
        <w:t>Appartiene in primo luogo ai medici e non agli specialisti dellorientamento professionale di pronunciarsi sulla capacità di lavoro di un assicurato affetto da un danno alla salute e sulle eventuali limitazioni (STF 8C_607/2024 del 18 agosto 2025, consid. 5.2.1 con rinvio a DTF 150 V 410 consid. 9.5.3.2; DTF 140 V 193 consid. 3.2; DTF 125 V 256 consid. 4).</w:t>
      </w:r>
    </w:p>
    <w:p>
      <w:r>
        <w:t>Tuttavia compito degli esperti dellaccertamento professionale è quello di completare i dati medici esaminando concretamente in quale misura un assicurato è in grado di valorizzare la capacità di lavoro e di guadagno nel mercato di lavoro (STF 8C_607/2024 del 18 agosto 2025, consid. 5.2.1 con rinvii). Circa la collaborazione stretta, reciproca e complementare tra medici ed esperti dellaccertamento professionale (cfr. DTF 107 V 17 consid. 2b), non va tuttavia tolta a questi ultimi ogni valore circa i risultati dordine professionale emersi in occasione di uno stage pratico per apprezzare la capacità lavorativa residua di lavoro della persona assicurata (STF 8C_607/2024 del 18 agosto 2025, consid. 5.2.1). Infatti, nella misura in cui vi è una divergenza sensibile tra gli accertamenti medici e professionali, occorre che lamministrazione, rispettivamente il Tribunale, conformemente al principio del libero apprezzamento delle prove, confrontino le due valutazioni e alloccorrenza richiedano un complemento istruttorio (STF 8C_607/2024 del 18 agosto 2025, consid. 5.2.1 con rinvii).</w:t>
      </w:r>
    </w:p>
    <w:p>
      <w:r>
        <w:t>Come emerge dalla STCA 32.2024.82 del 16 aprile 2025, consid. 2.7., in una STF 9C_462/2022 del 31 maggio 2023 il Tribunale federale, al consid. 4.2.2.1, ha evidenziato quanto segue (sottolineature del redattore):</w:t>
      </w:r>
    </w:p>
    <w:p>
      <w:r>
        <w:t>Per questi motivi</w:t>
      </w:r>
    </w:p>
    <w:p>
      <w:r>
        <w:t>dichiara e pronuncia</w:t>
      </w:r>
    </w:p>
    <w:p>
      <w:r>
        <w:t>§ La decisione impugnata è annullata e lincarto rinviato allUfficio AI affinché proceda come ai considerandi.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 Il segretario di Camera</w:t>
      </w:r>
    </w:p>
    <w:p>
      <w:r>
        <w:t>Daniele Cattaneo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