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32.2025.80</w:t>
      </w:r>
    </w:p>
    <w:p>
      <w:r>
        <w:t>TI Tribunale d'appello, IT</w:t>
      </w:r>
    </w:p>
    <w:p>
      <w:r>
        <w:rPr>
          <w:b/>
        </w:rPr>
        <w:t xml:space="preserve">Quelle: </w:t>
      </w:r>
      <w:r>
        <w:t>https://mcp.opencaselaw.ch/entscheid/ti_gerichte_32.2025.80</w:t>
      </w:r>
    </w:p>
    <w:p>
      <w:pPr>
        <w:pStyle w:val="Heading2"/>
      </w:pPr>
      <w:r>
        <w:t>Volltext</w:t>
      </w:r>
    </w:p>
    <w:p>
      <w:r>
        <w:t>Raccomandata</w:t>
      </w:r>
    </w:p>
    <w:p>
      <w:r>
        <w:t>Incarto n.32.2025.80</w:t>
      </w:r>
    </w:p>
    <w:p>
      <w:r>
        <w:t>cs</w:t>
      </w:r>
    </w:p>
    <w:p>
      <w:r>
        <w:t>Lugano</w:t>
      </w:r>
    </w:p>
    <w:p>
      <w:r>
        <w:t>16 marzo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15 settembre 2025 di</w:t>
      </w:r>
    </w:p>
    <w:p>
      <w:r>
        <w:t>RI1,______</w:t>
      </w:r>
    </w:p>
    <w:p>
      <w:r>
        <w:t>contro</w:t>
      </w:r>
    </w:p>
    <w:p>
      <w:r>
        <w:t>la decisione dell11 agosto 2025 emanata da</w:t>
      </w:r>
    </w:p>
    <w:p>
      <w:r>
        <w:t>Ufficio assicurazione invalidità,6501Bellinzona</w:t>
      </w:r>
    </w:p>
    <w:p>
      <w:r>
        <w:t>in materia di assicurazione federale per l'invalidità</w:t>
      </w:r>
    </w:p>
    <w:p>
      <w:r>
        <w:t>ritenutoin fatto</w:t>
      </w:r>
    </w:p>
    <w:p>
      <w:r>
        <w:t>consideratoin diritto</w:t>
      </w:r>
    </w:p>
    <w:p>
      <w:r>
        <w:t>in ordine</w:t>
      </w:r>
    </w:p>
    <w:p>
      <w:r>
        <w:t>Questo calcolo è stato effettuato mensilmente (doc. VI/1).</w:t>
      </w:r>
    </w:p>
    <w:p>
      <w:r>
        <w:t>Da febbraio ad aprile 2022: fr. 1'761  fr. 1'256 = fr. 505 di API;</w:t>
      </w:r>
    </w:p>
    <w:p>
      <w:r>
        <w:t>da maggio a luglio 2022: fr. 1'600  fr. 1256 = fr. 344;</w:t>
      </w:r>
    </w:p>
    <w:p>
      <w:r>
        <w:t>da agosto 2022 a novembre 2022: fr. 1'536  fr. 1'256 = fr. 280;</w:t>
      </w:r>
    </w:p>
    <w:p>
      <w:r>
        <w:t>nel mese di dicembre 2022: fr. 1611  1256 = fr. 355.</w:t>
      </w:r>
    </w:p>
    <w:p>
      <w:r>
        <w:t>in febbraio 2023: fr. 2'224  fr. 1'287 = fr. 937;</w:t>
      </w:r>
    </w:p>
    <w:p>
      <w:r>
        <w:t>in marzo 2023: fr. 2430 - fr. 1'287 = fr. 1'143;</w:t>
      </w:r>
    </w:p>
    <w:p>
      <w:r>
        <w:t>da aprile a maggio 2023: fr. 2384 - fr. 1'287 = fr. 1'097;</w:t>
      </w:r>
    </w:p>
    <w:p>
      <w:r>
        <w:t>da giugno ad agosto 2023: fr. 2224 - fr. 1'287 = fr. 937;</w:t>
      </w:r>
    </w:p>
    <w:p>
      <w:r>
        <w:t>da settembre a dicembre 2023: fr. 2222 - fr. 1'287 = fr. 935.</w:t>
      </w:r>
    </w:p>
    <w:p>
      <w:r>
        <w:t>in febbraio 2024: fr. 1968  fr. 1'287 = fr. 681;</w:t>
      </w:r>
    </w:p>
    <w:p>
      <w:r>
        <w:t>da marzo a maggio 2024: fr. 2311  fr. 1'287 = fr. 1'024;</w:t>
      </w:r>
    </w:p>
    <w:p>
      <w:r>
        <w:t>da giugno ad agosto 2024: fr. 2268  fr. 1'287 = fr. 981;</w:t>
      </w:r>
    </w:p>
    <w:p>
      <w:r>
        <w:t>da settembre a novembre 2024: fr. 2220  fr. 1'287 = fr. 933;</w:t>
      </w:r>
    </w:p>
    <w:p>
      <w:r>
        <w:t>in dicembre 2024: fr. 2248  fr. 1'287 = fr. 961.</w:t>
      </w:r>
    </w:p>
    <w:p>
      <w:r>
        <w:t>da febbraio ad aprile 2025: fr. 2338  fr. 1'323 = fr. 1'015;</w:t>
      </w:r>
    </w:p>
    <w:p>
      <w:r>
        <w:t>da maggio a luglio 2025: fr. 2313 - fr. 1323 = fr. 990.</w:t>
      </w:r>
    </w:p>
    <w:p>
      <w:r>
        <w:t>La decisione impugnata merita pertanto conferma.</w:t>
      </w:r>
    </w:p>
    <w:p>
      <w:r>
        <w:t>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 ricorrente.</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DTF 140 V 521, consid. 9.1; STF 9C_217/2025 del 3 luglio 2025, consid. 3.2).</w:t>
      </w:r>
    </w:p>
    <w:p>
      <w:r>
        <w:t>La situazione deve essere apprezzata sulla base di un esame sommario (STF 9C_217/2025 del 3 luglio 2025, consid. 3.2 con rinvio alla DTF 133 III 614 consid. 5).</w:t>
      </w:r>
    </w:p>
    <w:p>
      <w:r>
        <w:t>Nel caso concreto, visti i chiari principi che risultano dalla giurisprudenza pubblicata sia nella Raccolta Ufficiale che nel sito web della Confederazione, rispettivamente in quello del Cantone Ticino, ritenuto che vi è una base legale cantonale che permette la compensazione con le prestazioni sociali ricevute dallAI (art. 32 Laps), alla luce anche delle precedenti sentenze cantonali (cfr.STCA 32.2017.173 / 32.2018.83 del 27 agosto 2018 e STCA 32.2018.53 del 18 febbraio 2019, consid. 2.8) e del fatto che il ricorrente aveva sottoscritto uninformativa che lo rendeva attento circa la possibilità di una richiesta di rimborso delle prestazioni cantonali in caso di ottenimento di prestazioni dellAI,doveva apparire evidente che il rischio di perdere il processo era palesemente maggiore rispetto alle prospettive di un successo, ragione per la quale il requisito della probabilità di esito favorevole va giudicato inadempiuto.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