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32.2025.77 vom 22. Juli 2025</w:t>
      </w:r>
    </w:p>
    <w:p>
      <w:r>
        <w:t>TI Tribunale d'appello, 2025-07-22, IT</w:t>
      </w:r>
    </w:p>
    <w:p>
      <w:r>
        <w:rPr>
          <w:b/>
        </w:rPr>
        <w:t xml:space="preserve">Quelle: </w:t>
      </w:r>
      <w:r>
        <w:t>https://mcp.opencaselaw.ch/entscheid/ti_gerichte_32.2025.77</w:t>
      </w:r>
    </w:p>
    <w:p>
      <w:r>
        <w:t>FR: TI_GERICHTE 32.2025.77 du 22 juillet 2025</w:t>
      </w:r>
    </w:p>
    <w:p>
      <w:r>
        <w:t>IT: TI_GERICHTE 32.2025.77 del 22 luglio 2025</w:t>
      </w:r>
    </w:p>
    <w:p>
      <w:pPr>
        <w:pStyle w:val="Heading2"/>
      </w:pPr>
      <w:r>
        <w:t>Erwägungen</w:t>
      </w:r>
    </w:p>
    <w:p>
      <w:r>
        <w:rPr>
          <w:b/>
        </w:rPr>
        <w:t>E. 31</w:t>
      </w:r>
    </w:p>
    <w:p>
      <w:r>
        <w:t>agosto 2015, in particolare consid. 5.2, 5.3 e 6.1; STF 8C_452/2011 del 12 marzo 2012; STF 9C_807/2014 del 9 settembre 2015; STF 9C_585/2014 dell’8 settembre 2015). nel merito 2.2.  Oggetto del contendere è sapere se a giusta ragione o meno l’Ufficio AI ha negato all’insorgente il diritto all’AGI. 2.3.  Secondo l'art. 9 LPGA – che ha ripreso la definizione contenuta nell'art. 42 v.LAI (DTF 133 V 450) – è considerato grande invalido colui che, a causa di un danno alla salute, ha bisogno in modo permanente dell'aiuto di terzi o di una sorveglianza personale per compiere gli atti ordinari della vita. La giurisprudenza ha precisato che l'aiuto di cui abbisogna l'assicurato può essere inteso sia come aiuto diretto di terzi che come sorveglianza dell'assicurato durante il compimento degli atti ordinari rilevanti della vita, per esempio quando la persona che lo sorveglia lo esorta a compiere un atto che rimarrebbe incompiuto senza l'espresso incitamento di un terzo a causa dello stato psichico dell'assicurato (cosiddetto aiuto indiretto; DTF 133 V 463; STF 8C_479/2007 del 4 gennaio 2008; DTF 121 V 91 e 107 V 149). Gli atti ordinari della vita sono i seguenti (DTF 127 V 97; DTF 125 V 303; DTF 117 V 146 consid. 2; cifra 8010 della Circolare sull'invalidità e la grande invalidità nell'assicurazione per l'invalidità (CIGI), valida dal 1 gennaio 2015, stato al 1. gennaio 2021): - vestirsi/svestirsi - alzarsi/sedersi/coricarsi - mangiare - provvedere all'igiene personale (cura del corpo) - andare al gabinetto (espletare i propri bisogni corporali) - spostarsi (in casa e all'esterno) e stabilire contatti sociali. Per atti che permettono di stabilire dei contatti sociali con l'ambiente la giurisprudenza ha precisato che bisogna intendere il comportamento normale all'interno della società così come richiesto dall'esistenza quotidiana (DTF 117 V 27 e 146, 105 V 52, 104 V 127). 2.4.  L'art. 42 cpv. 1 LAI prevede che l'assicurato grande invalido (art. 9 LPGA) con domicilio e dimora abituale (art. 13 LPGA) in Svizzera ha diritto a un assegno per grandi invalidi, con riserva dell’art. 42 bis cpv. 5. La grande invalidità può essere di grado elevato, medio o lieve (art. 42 cpv. 2 LAI). Giusta l'art. 42 cpv. 3 LAI, è considerato grande invalido anche chi a causa di un danno alla salute vive a casa e necessita in modo permanente di essere accompagnato nell'organizzazione della realtà quotidiana. Chi soffre esclusivamente di un danno alla salute psichica è considerato grande invalido soltanto se ha diritto a una rendita. Chi ha bisogno unicamente di essere accompagnato in modo permanente nell'organizzazione della realtà quotidiana è considerato grande invalido di grado lieve. Rimane salvo l’art. 42 bis cpv. 3. L'art. 37 cpv. 1 OAI stabilisce che la grande invalidità è reputata di grado elevato se l'assicurato è totalmente grande invalido. Ciò è il caso quando necessita dell'aiuto regolare e notevole di terzi per compiere tutti gli atti ordinari della vita e il suo stato richiede inoltre cure permanenti o una sorveglianza personale. Per il capoverso 2 dell'art. 37 OAI, l a grande invalidità è di grado medio se l'assicurato, pur munito di mezzi ausiliari, necessita: a.  di aiuto regolare e notevole di terzi per compiere la maggior parte degli atti ordinari della vita, b.  di aiuto regolare e notevole di terzi per compiere almeno due atti ordinari della vita e abbisogna, inoltre, di una sorveglianza personale permanente; o c.  di aiuto regolare e notevole di terzi per compiere almeno due atti ordinari della vita e abbisogna, inoltre, di un accompagnamento permanente nell'organizzazione della realtà quotidiana ai sensi dell'art. 38. L'art. 37 cpv. 3 OAI stabilisce che la grande invalidità è di grado lieve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oppure e.  è costretto a ricorrere a un accompagnamento costante nell'organizzazione della realtà quotidiana ai sensi dell'art. 38. A norma dell'art. 38 cpv. 1 OAI, esiste un bisogno di accompagnamento nell'organizzazione della realtà quotidiana ai sensi dell'art. 42 cpv.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una terza persona; oppure c. rischia seriamente l'isolamento permanente dal mondo esterno. Per l'art. 38 cpv. 3 OAI, è considerato unicamente l'accompagna mento nell'organizzazione della realtà quotidiana che è regolare e necessario in relazione a una delle situazioni di cui al capoverso 1. Fra queste non rientrano in particolare le attività di rappresentanza e di amministrazione nel quadro delle misure di protezione degli adulti conformemente agli articoli 390-398 del Codice civile. Sia ancora rammentato che per la cifra 2010 CIGI, l'aiuto di terzi è considerato regolare se l'assicurato ne necessita o può ipoteticamente necessitarne quotidianamente (STF 9C_562/2016 del 13 gennaio 2017). La regolarità è anche ammessa se per esempio l’assicurato è soggetto ad attacchi che possono manifestarsi soltanto ogni due o tre giorni, m improvvisamente e spesso anche ogni giorno o più volte al giorno (RCC 1986 pag. 510). Per la cifra 2013 CIGI l'aiuto è considerato notevole quando almeno una funzione parziale di un atto ordinario della vita (p. es. «lavarsi» quale parte della «pulizia personale» [DTF 107 V 136]): - non può più essere compiuta dall'assicurato, oppure può essere compiuta soltanto con uno sforzo non esigibile ragionevolmente o in modo difforme dall'usuale (DTF 106 V 153) oppure non sarebbe compiuta spontaneamente a causa dello stato psichico; - non può essere compiuta dall'assicurato nemmeno con l'aiuto di terzi perché per lui è priva di senso (p. es. intrattenere contatti sociali è impossibile a causa di gravi lesioni cerebrali che costringono a una vita totalmente vegetativa a letto) [DTF 117 V 146]). 2.5.  In concreto questo Giudice non ravvisa motivi per non accogliere il gravame secondo la proposta formulata dall’Ufficio AI con la risposta di causa e condivisa dalla ricorrente il 20 ottobre 2025. In effetti, prima di poter valutare il diritto all’AGI (art. 42 LAI), è necessario fugare ogni dubbio circa lo stato valetudinario, i limiti funzionali, gli impedimenti e la capacità lavorativa (residua), non potendosi escludere, come ammesso dall’Ufficio AI (cfr. VI, p.to 6.), che essi si siano modificati rispetto alla prima valutazione del 2018. La fattispecie necessita pertanto di essere ulteriormente indagata tramite gli opportuni accertamenti.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In concreto, rilevato che per le ragioni già diffusamente esposte l’istruttoria amministrativa risulta carente, si giustifica il rinvio degli atti all’amministrazione affinché proceda agli approfondimenti necessari, in esito ai quali l’Ufficio AI emanerà una nuova decisione, debitamente preavvisata. 2.6.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favorevole del ricorso (il rinvio con esito aperto equivale a piena vittoria, cfr. STF 8C_307/2021 del 25 agosto 2021 consid. 6; DTF 141 V 281 consid. 11.1 e 137 V 210 consid. 7.1 con riferimenti) le spese di fr. 500 sono poste a carico dell’Ufficio AI, il quale verserà alla ricorrente fr. 1'800 di ripetibili (art. 61 cpv. 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