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32.2025.68</w:t>
      </w:r>
    </w:p>
    <w:p>
      <w:r>
        <w:t>TI Tribunale d'appello, IT</w:t>
      </w:r>
    </w:p>
    <w:p>
      <w:r>
        <w:rPr>
          <w:b/>
        </w:rPr>
        <w:t xml:space="preserve">Quelle: </w:t>
      </w:r>
      <w:r>
        <w:t>https://mcp.opencaselaw.ch/entscheid/ti_gerichte_32.2025.68</w:t>
      </w:r>
    </w:p>
    <w:p>
      <w:pPr>
        <w:pStyle w:val="Heading2"/>
      </w:pPr>
      <w:r>
        <w:t>Volltext</w:t>
      </w:r>
    </w:p>
    <w:p>
      <w:r>
        <w:t>Raccomandata</w:t>
      </w:r>
    </w:p>
    <w:p>
      <w:r>
        <w:t>Incarto n.32.2025.68</w:t>
      </w:r>
    </w:p>
    <w:p>
      <w:r>
        <w:t>cs</w:t>
      </w:r>
    </w:p>
    <w:p>
      <w:r>
        <w:t>Lugano</w:t>
      </w:r>
    </w:p>
    <w:p>
      <w:r>
        <w:t>2 marzo 2026</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20 agosto 2025 di</w:t>
      </w:r>
    </w:p>
    <w:p>
      <w:r>
        <w:t>RI1,_______</w:t>
      </w:r>
    </w:p>
    <w:p>
      <w:r>
        <w:t>contro</w:t>
      </w:r>
    </w:p>
    <w:p>
      <w:r>
        <w:t>la decisione del 20 giugno 2025 emanata da</w:t>
      </w:r>
    </w:p>
    <w:p>
      <w:r>
        <w:t>Ufficio assicurazione invalidità,6501Bellinzona</w:t>
      </w:r>
    </w:p>
    <w:p>
      <w:r>
        <w:t>in materia di assicurazione federale per l'invalidità</w:t>
      </w:r>
    </w:p>
    <w:p>
      <w:r>
        <w:t>ritenutoin fatto</w:t>
      </w:r>
    </w:p>
    <w:p>
      <w:r>
        <w:t>Lamministrazione ha in particolare affermato:</w:t>
      </w:r>
    </w:p>
    <w:p>
      <w:r>
        <w:t>La ricorrente richiama tutto lincarto AI e gli incarti della Pretura.</w:t>
      </w:r>
    </w:p>
    <w:p>
      <w:r>
        <w:t>consideratoin diritto</w:t>
      </w:r>
    </w:p>
    <w:p>
      <w:r>
        <w:t>in ordine</w:t>
      </w:r>
    </w:p>
    <w:p>
      <w:r>
        <w:t>2.2.Lacostante giurisprudenza federale ha stabilito che è la decisione impugnatache costituisce il presupposto e il contenuto della contestazione sottoposta all'esame giudiziale (cfr. STF 8C_126/2022 del 7 aprile 2022 consid. 4.3.;STF 8C_787/2020 del 26 maggio 2021 consid. 2.3.;STF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w:t>
      </w:r>
    </w:p>
    <w:p>
      <w:r>
        <w:t>Con la decisione impugnata lUfficio AI ha stabilito che continuerà a versare le prestazioni dovute (AGI e SCI) in favore della figlia alla madre su presentazione di una fatturazione trimestrale, che lUfficio AI non entra nel merito della richiesta del padre di riconoscergli il versamento dellAGI e del SCI per le notti passate dalla figlia presso il suo domicilio e che limporto versatogli dal mese di luglio 2023 e marzo 2024 di fr. 6'117 viene chiesto in restituzione allinsorgente.</w:t>
      </w:r>
    </w:p>
    <w:p>
      <w:r>
        <w:t>2.4.  L'art. 42 cpv. 1 LAI prevede che l'assicurato grande invalido (art. 9 LPGA) con domicilio e dimora abituale (art. 13 LPGA) in Svizzera ha diritto a un assegno per grandi invalidi.</w:t>
      </w:r>
    </w:p>
    <w:p>
      <w:r>
        <w:t>b.non può compiere le attività della vita quotidiana e intrattenere contatti fuori casa senza l'accompagnamento di una terza persona; oppure</w:t>
      </w:r>
    </w:p>
    <w:p>
      <w:r>
        <w:t>c.rischia seriamente l'isolamento permanente dal mondo esterno.</w:t>
      </w:r>
    </w:p>
    <w:p>
      <w:r>
        <w:t>Al consid. 4.3 il Tribunale federale ha affermato:</w:t>
      </w:r>
    </w:p>
    <w:p>
      <w:r>
        <w:t>Al consid. 3.3.5. il Tribunale federale ha affermato:</w:t>
      </w:r>
    </w:p>
    <w:p>
      <w:r>
        <w:t>L'obbligo di restituzione presuppone che siano adempiute le condizioni di una riconsiderazione o di una revisione della decisione con la quale sono state attribuite le prestazioni (cfr. STF 8C_108/2022 del 22 settembre 2022, consid. 3.1; STF 8C_665/2020 dell8 giugno 2021 consid. 3.2.; STF 8C_294/2018 del 28 giugno 2018 consid. 4.1.; STF 8C 565/2016 del 26 ottobre 2016 consid. 2; STF C 128/06 del 10 maggio 2007; DTF 129 V 110 consid. 1.1; DTF 126 V 42 consid. 2b; cfr. anche STF 9C_429/2012 del 19 settembre 2012, 9C_795/2009 del 21 giugno 2010 pubblicata in SVR 11/2010 EL Nr. 12; STF U 408/06 del 25 giugno 2007, K 147/03 del 12 marzo 2004).</w:t>
      </w:r>
    </w:p>
    <w:p>
      <w:r>
        <w:t>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l'amministrazione scoprono successivamente nuovi fatti rilevanti o nuovi mezzi di prova che non potevano essere prodotti in precedenza (cfr. STF 8C_562/2020 del 14 aprile 2021 consid. 3; STF 8C_562/2019 del 16 giugno 2020 consid. 3.; STF 8C_257/2011 del 14 giugno 2011 consid. 4).</w:t>
      </w:r>
    </w:p>
    <w:p>
      <w:r>
        <w:t>Per quanto riguarda i nuovi mezzi di prova,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negligenza(DTF 144 V 245consid. 5.3 succitata;127 V 353consid. 5b succitata).</w:t>
      </w:r>
    </w:p>
    <w:p>
      <w:r>
        <w:t>Costituisce, dunque, fatto nuovo o nuovo mezzo di prova soltanto il fatto o il mezzo di prova che non era già conosciuto nella precedente procedura o che non avrebbe potuto venir prodotto dall'interessato anche qualora quest'ultimo avesse dato prova della necessaria diligenza (RCC 1983 p. 157; RCC 1970 p. 457 consid. 3).</w:t>
      </w:r>
    </w:p>
    <w:p>
      <w:r>
        <w:t>Perdeterminare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147 V 167, consid. 4.2; DTF 140 V 77, consid. 3.1; DTF 125 V 383 consid. 3 pag. 389 con riferimenti), tenuto conto del fatto che un cambiamento di prassi o di giurisprudenza non giustifica di regola una riconsiderazione (DTF 147 V 167; DTF 117 V 8 consid. 2c pag. 17; 115 V 308 consid. 4a/cc pag. 314).</w:t>
      </w:r>
    </w:p>
    <w:p>
      <w:r>
        <w:t>Per motivi legati alla sicurezza giuridica e per evitare che la riconsiderazione diventi uno strumento che consenta di riesaminare liberamente i presupposti del diritto a prestazioni di lunga durata, l'irregolarità deve essere manifesta (zweifellos unrichtig; STF 8C_108/2022 del 22 settembre 2022, consid. 3.3).</w:t>
      </w:r>
    </w:p>
    <w:p>
      <w:r>
        <w:t>Lamministrazione non può procedere in ogni momento ad un nuovo apprezzamento della situazione dopo un esame più approfondito dei fatti (STF 8C_108/2022 del 22 settembre 2022, consid. 3.3).</w:t>
      </w:r>
    </w:p>
    <w:p>
      <w:r>
        <w:t>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9C_308/2018 del 17 agosto 2018, consid. 2.2; sentenza 8C_113/2012 del 21 dicembre 2012, consid. 5.1; sentenza 9C_439/2007 del 28 febbraio 2008 consid. 3.1 con riferimenti; DTF 138 V 324).</w:t>
      </w:r>
    </w:p>
    <w:p>
      <w:r>
        <w:t>Per quanto concerne il condono,a questo stadio della procedura non è rilevante sapere se l'interessato era in buona fede oppure no quando ha ricevuto le prestazioni e se la restituzione costituisce un onere troppo grave (cfr. STCA 42.2023.34 del 15 gennaio 2024, consid. 2.9). La questione della buona fede e dellonere gravoso è infatti oggetto di esame nell'ambito della procedura successiva di condono (cfr. STF 8C_195/2022 del 9 agosto 2022 consid. 7; STF 9C_398/2021 del 22 febbraio 2022 consid. 5.3.; DTF 147 V 417 consid. 7.3.2.; STF8C_294/2018 del 28 giugno 2018 consid. 4.1.; STF 8C_689/2016 del 5 luglio 2017 consid. 3.1.; DTF 122 V 134 consid. 2e), nella misura in cui linsorgente lo chiederà nei modi e nei tempi previsti dalla legge (cfr. art. 4 cpv. 4 OPGA per il quale il condono, se dati i presupposti, è concesso su domanda scritta. La domanda, motivata e corredata dei necessari giustificativi, deve essere inoltrata entro 30 giorni dal momento in cui la decisione è passata in giudicato).</w:t>
      </w:r>
    </w:p>
    <w:p>
      <w:r>
        <w:t>Per il resto il ricorso va respinto.</w:t>
      </w:r>
    </w:p>
    <w:p>
      <w:r>
        <w:t>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8C_789/2023 dell8 gennaio 2025 consid. 4.2.3.;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Visto lesito del ricorso, le spese per complessivi fr. 500 sono poste a carico dellUfficio AI nella misura di fr. 50 e del ricorrente nella misura di fr. 450.</w:t>
      </w:r>
    </w:p>
    <w:p>
      <w:r>
        <w:t>Questultimo ha tuttavia chiestodi essere posto al beneficio dellassistenza giudiziaria.</w:t>
      </w:r>
    </w:p>
    <w:p>
      <w:r>
        <w:t>Visto l'esito della vertenza e il diritto a ripetibili, la richiesta di ammissione al gratuito patrocinio, relativa alla parte per la quale linsorgente è molto parzialmente vincente in causa, è divenuta priva di oggetto (cfr. STF 9C_992/2012 del 27 marzo 2013 consid. 5; STF 8C_140/2007 del 21 aprile 2008 consid. 9.2.; STFA U 164/02 del 9 aprile 2003; DTF 124 V 310 consid. 6; STCA 38.2019.11 del 27 maggio 2019 consid. 2.9.).</w:t>
      </w:r>
    </w:p>
    <w:p>
      <w:r>
        <w:t>Per la parte del ricorso in cui è soccombente, il ricorrente può, invece, di principio essere posto al beneficio del gratuito patrocinio nel caso in cui adempia le relative condizioni (cfr. DTF 124 V 301 consid. 6).</w:t>
      </w:r>
    </w:p>
    <w:p>
      <w:r>
        <w:t>2.16.Ai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2.17.  Nella fattispecie, dalla documentazione agli atti risulta che il ricorrente, nato nel 1971, divorziato, con tre figlie, nate nel 2008 e 2015 (due gemelle), addetto alle pulizie, può contare su un salario netto, comprensivo degli assegni per le figlie, di fr. 4'642.45, per tredici mensilità, pari a fr.4'975.57al mese ({4642.45 x 12 + [4'642.45  645 (assegni per le figlie)]} : 12).</w:t>
      </w:r>
    </w:p>
    <w:p>
      <w:r>
        <w:t>Per quanto riguarda il calcolo del fabbisogno, allassicurato deve essere applicato limporto base mensile per la persona che vive da sola di fr. 1200.-, che, con un supplemento del 25%, raggiunge i fr. 1500.</w:t>
      </w:r>
    </w:p>
    <w:p>
      <w:r>
        <w:t>Tale importo comprende già le spese di sostentamento, abbigliamento, biancheria, igiene, cultura, salute, oneri domestici, quali elettricità, illuminazione, gas (cfr. Tabella per il calcolo del minimo di esistenza agli effetti del diritto esecutivo in vigore dal 1° settembre 2009).</w:t>
      </w:r>
    </w:p>
    <w:p>
      <w:r>
        <w:t>Sulla scorta di quanto è stato documentato, il ricorrente fa poi valere il canone di locazione di fr. 1160.-- al mese, il conguaglio delle spese accessorie pari a fr. 28.50 al mese (fr. 342.05 : 12), gli alimenti per le figlie di fr. 1'975 al mese, la Cassa malati di fr. 278.75 al mese, la RC privata di fr. 22.4 al mese (fr. 268.80 : 12), la RC auto di fr. 90.85 al mese (fr. 1'090.30 : 12) e limposta di circolazione di fr. 23.16 al mese (278 : 12).</w:t>
      </w:r>
    </w:p>
    <w:p>
      <w:r>
        <w:t>Senza che sia necessario stabilire se tutte le spese da lui fatte valere siano da prendere in considerazione, va evidenziato come a fronte di entrate per fr. 4'975.57, già solo deducendo i fr. 1'500 di importo base mensile, i fr. 1'975 degli alimenti per le figlie, i fr. 1'160 per le spese di locazione, i fr. 28.50 per le spese accessorie e i fr. 278.75 per la cassa malati, si giunge ad uneccedenza di soli fr. 33.32 al mese ancora prima di prendere in considerazione le spese di trasferta per raggiungere il posto di lavoro dal suo domicilio a _______ alla _______ a _______.</w:t>
      </w:r>
    </w:p>
    <w:p>
      <w:r>
        <w:t>Lindigenza va pertanto riconosciuta (cfr. STF 8C_310/2016 = SVR 2017 IV n. 36 pag. 109 dove uneccedenza di fr. 118.35 al mese, considerato linsieme delle circostanze, non è stato considerato sufficiente per negare lindigenza; cfr. anche STF 8C_413/2021 del 29 settembre 2021 dove invece uneccedenza mensile di fr. 325 al mese per una coppia è stata considerata sufficiente).</w:t>
      </w:r>
    </w:p>
    <w:p>
      <w:r>
        <w:t>Per questi motivi</w:t>
      </w:r>
    </w:p>
    <w:p>
      <w:r>
        <w:t>dichiara e pronuncia</w:t>
      </w:r>
    </w:p>
    <w:p>
      <w:r>
        <w:t>§ La decisione impugnata è modificata nel senso che limporto da restituire ammonta a fr. 6'027.</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