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32.2025.63 vom 30. Juni 2025</w:t>
      </w:r>
    </w:p>
    <w:p>
      <w:r>
        <w:t>TI Tribunale d'appello, 2025-06-30, IT</w:t>
      </w:r>
    </w:p>
    <w:p>
      <w:r>
        <w:rPr>
          <w:b/>
        </w:rPr>
        <w:t xml:space="preserve">Quelle: </w:t>
      </w:r>
      <w:r>
        <w:t>https://mcp.opencaselaw.ch/entscheid/ti_gerichte_32.2025.63</w:t>
      </w:r>
    </w:p>
    <w:p>
      <w:r>
        <w:t>FR: TI_GERICHTE 32.2025.63 du 30 juin 2025</w:t>
      </w:r>
    </w:p>
    <w:p>
      <w:r>
        <w:t>IT: TI_GERICHTE 32.2025.63 del 30 giugno 2025</w:t>
      </w:r>
    </w:p>
    <w:p>
      <w:pPr>
        <w:pStyle w:val="Heading2"/>
      </w:pPr>
      <w:r>
        <w:t>Volltext</w:t>
      </w:r>
    </w:p>
    <w:p>
      <w:r>
        <w:t>Incarto n.32.2025.63</w:t>
      </w:r>
    </w:p>
    <w:p>
      <w:r>
        <w:t>FC</w:t>
      </w:r>
    </w:p>
    <w:p>
      <w:r>
        <w:t>Lugano</w:t>
      </w:r>
    </w:p>
    <w:p>
      <w:r>
        <w:t>18 dicembre 2025</w:t>
      </w:r>
    </w:p>
    <w:p>
      <w:r>
        <w:t>In nomedella Repubblica e CantoneTicino</w:t>
      </w:r>
    </w:p>
    <w:p>
      <w:r>
        <w:t>Il vicepresidente</w:t>
      </w:r>
    </w:p>
    <w:p>
      <w:r>
        <w:t>del Tribunale cantonale delle assicurazioni</w:t>
      </w:r>
    </w:p>
    <w:p>
      <w:r>
        <w:t>Giudice Raffaele Guffi</w:t>
      </w:r>
    </w:p>
    <w:p>
      <w:r>
        <w:t>con redattrice:</w:t>
      </w:r>
    </w:p>
    <w:p>
      <w:r>
        <w:t>Francesca Cassina-Barzaghini, cancelliera</w:t>
      </w:r>
    </w:p>
    <w:p>
      <w:r>
        <w:t>segretario:</w:t>
      </w:r>
    </w:p>
    <w:p>
      <w:r>
        <w:t>Gianluca Menghetti</w:t>
      </w:r>
    </w:p>
    <w:p>
      <w:r>
        <w:t>statuendo sul ricorso del 28 luglio 2025 di</w:t>
      </w:r>
    </w:p>
    <w:p>
      <w:r>
        <w:t>RI1,____</w:t>
      </w:r>
    </w:p>
    <w:p>
      <w:r>
        <w:t>contro</w:t>
      </w:r>
    </w:p>
    <w:p>
      <w:r>
        <w:t>la decisione del 30 giugno 2025 emanata da</w:t>
      </w:r>
    </w:p>
    <w:p>
      <w:r>
        <w:t>Ufficio assicurazione invalidità,6501Bellinzona</w:t>
      </w:r>
    </w:p>
    <w:p>
      <w:r>
        <w:t>in materia di assicurazione federale per l'invalidità</w:t>
      </w:r>
    </w:p>
    <w:p>
      <w:r>
        <w:t>consideratoin fatto e in diritto</w:t>
      </w:r>
    </w:p>
    <w:p>
      <w:r>
        <w:t>-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SchweizerischesBundesverwaltungsrecht, Band XIV, Soziale Sicherheit, 2a ed., 2007, pag. 1411, n. 46).L'art. 28 cpv. 1 LAI (nella sua versione applicabile sino al 31 dicembre 2021)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Secondo il cpv. 2 del medesimo articolo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-nel caso concreto, come chiesto con il gravame e come indicato nella risposta di causa, alla luce degli atti medici prodotti in questa sede vè effettivamente da ritenere che, onde addivenire ad un chiaro e completo giudizio sulla situazione invalidante, la situazione medica vada ulteriormente e nuovamente indagata. Tale conclusione si impone secondo quanto concluso il 22 ottobre 2025 dal SMR, per il quale, dopo aver visionato la documentazione versata agli atti  comprendente vari rapporti medici dal 2018 a tuttora concernente: - iperparatiroidismo, intervento di paratiroidecotmia il 8.2.2019 con decorso regolare, - esami di gastro e colonoscopia del 2018 risultati s.p.,- densitometria normale; Nel 2019: - stenosi foraminali cervicali con contatto radici C6 e C7, - piccola recidiva erniaria L4/5 destra con contatto L5 a destra, - 27.5.2021 neoplasia collo vescicale, 12.1.2022 assicurata sottoposta a infiltrazione periradicolare L5 destra; Problematica recente del 31.10.2024; Stato dopo resezione esostosi base V metatarso piede destro il 31.10.2024, Frattura base V metatarso post-iatrogena verosimilmente (durante resezione esostosi), - il 7.7.2025 cammina ancora con qualche difficoltà, doc. XVIII/1) dalla documentazione prodotta risultava un peggioramento stato di salute almeno dal 31.10.2024 in seguito a resezione esostosi complicata da frattura metatarsale iatrogena. Consiglio valutazione tramite valutazione peritale reumatologica, neurologica e psichiatrica per verificare CL residua attuale (XVIII/1);</w:t>
      </w:r>
    </w:p>
    <w:p>
      <w:r>
        <w:t>-  sulla base di tali conclusioni del SMR, lUfficio AI nella sua risposta, ha quindi concluso che Alla luce di quanto precede, si propone pertanto a codesto lodevole Tribunale cantonale delle assicurazioni (TCA) di voler retrocedere gli atti all'amministrazione al fine di espletare i necessari accertamenti medici conformemente a quanto indicato dal SMR allinterno dell'annotazione summenzionata. Ciò comporta che l'amministrazione, dopo aver completato l'istruttoria, facendo esperire i necessari ulteriori accertamenti medici (segnatamente l'esecuzione di una perizia pluridisciplinare di natura reumatologica, neurologica e psichiatrica), e rivalutato il caso sulla base delle relative risultanze, emanerà una nuova decisione formale (preceduta dal relativo preavviso ex art. 57a LAI), garantendo di conseguenza all'assicurata tutti i suoi diritti di difesa (XVIII);</w:t>
      </w:r>
    </w:p>
    <w:p>
      <w:r>
        <w:t>-inSTF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considerato come gli accertamenti eseguiti dallamministrazione paiono incompleti, si giustifica ilrinvio degli attiaffinché essa procedanel senso sopra indicato. Tale esito collima peraltro pienamente con la richiesta ricorsuale formulata dallinsorgente (I).</w:t>
      </w:r>
    </w:p>
    <w:p>
      <w:r>
        <w:t>Come anticipato anche dallUfficio AI nella sua presa di posizione del 27 ottobre 2025 (XVIII), in esito alla nuova istruttoria dovrà essere emessa, nel rispetto dei dettami dellart. 57a LAI, unanuova decisione soggetta a ricorsoai sensi degli artt. 56 e segg. LPGA nel cui ambito lassicurata potrà riproporre ogni censura di fatto e di diritto, sia in relazione alla valutazione medica che a quella economica;</w:t>
      </w:r>
    </w:p>
    <w:p>
      <w:r>
        <w:t>-giusta l'art. 69 cpv. 1bisLAI in vigore dal 1° gennaio 2021 ed applicabile in concreto (cfr. la disposizione transitoria dellart. 82a LPGA in combinazione con gli art. 61 lett. a e fbisLPGA nel tenore in vigore dal 1° gennaio 2021)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  visto l'esito della lite, le spese di procedura di fr. 500 sono poste a carico dell'Ufficio AI;</w:t>
      </w:r>
    </w:p>
    <w:p>
      <w:r>
        <w:t>dichiara e pronuncia</w:t>
      </w:r>
    </w:p>
    <w:p>
      <w:r>
        <w:t>1.-  Il ricorso èaccolto.</w:t>
      </w:r>
    </w:p>
    <w:p>
      <w:r>
        <w:t>§   La decisione del 30 giugno 2025 è annullata.</w:t>
      </w:r>
    </w:p>
    <w:p>
      <w:r>
        <w:t>§§ Gli atti sono rinviati allUfficio AI perché proceda conformemente ai considerandi.</w:t>
      </w:r>
    </w:p>
    <w:p>
      <w:r>
        <w:t>2.-  Le spese di procedura di fr. 500 sono poste a carico dellUffi-cio AI.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