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32.2025.6 vom 2. Dezember 2024</w:t>
      </w:r>
    </w:p>
    <w:p>
      <w:r>
        <w:t>TI Tribunale d'appello, 2024-12-02, IT</w:t>
      </w:r>
    </w:p>
    <w:p>
      <w:r>
        <w:rPr>
          <w:b/>
        </w:rPr>
        <w:t xml:space="preserve">Quelle: </w:t>
      </w:r>
      <w:r>
        <w:t>https://mcp.opencaselaw.ch/entscheid/ti_gerichte_32.2025.6</w:t>
      </w:r>
    </w:p>
    <w:p>
      <w:r>
        <w:t>FR: TI_GERICHTE 32.2025.6 du 2 décembre 2024</w:t>
      </w:r>
    </w:p>
    <w:p>
      <w:r>
        <w:t>IT: TI_GERICHTE 32.2025.6 del 2 dicembre 2024</w:t>
      </w:r>
    </w:p>
    <w:p>
      <w:pPr>
        <w:pStyle w:val="Heading2"/>
      </w:pPr>
      <w:r>
        <w:t>Erwägungen</w:t>
      </w:r>
    </w:p>
    <w:p>
      <w:r>
        <w:rPr>
          <w:b/>
        </w:rPr>
        <w:t>E. 2</w:t>
      </w:r>
    </w:p>
    <w:p>
      <w:r>
        <w:t>LOG (pro multis STF 9C_699/2014 del 31 agosto 2015, in particolare consid. 5.2, 5.3 e 6.1; STF 8C_452/2011 del 12 marzo 2012; STF 9C_807/2014 del 9 settembre 2015; STF 9C_585/2014 dell’8 settembre 2015). nel merito 2.2.  Oggetto del contendere è sapere se a ragione o meno l’Ufficio AI ha respinto la (seconda) domanda di rendita presentata dall’assicurato nel maggio 2023. Va anzitutto rilevato che il 1. gennaio 2022, ossia prima dell’emanazione della decisione impugnata, è entrata in vigore una (importante) modifica della LAI e dell’OAI denominata “Ulteriore sviluppo dell’AI” e che concerne (anche) il diritto alla rendita (cfr. RU 2021 705). La lett. c delle Disposizioni transitorie della modifica legislativa di cui sopra prevede che “ Ai beneficiari di rendita il cui diritto alla rendita è nato prima dell’entrata in vigore della presente modifica e che all’entrata in vigore della presente modifica hanno 55 anni compiuti continua ad applicarsi il diritto anteriore. ”. La cifra 9101 della Circolare sull’invalidità e sulla rendita nell’assicurazione per l’invalidità (CIRAI) (valida dal. 1. gennaio 2022, stato al 1. gennaio 2025) prevede che “ Se la decisione sulla prima concessione di una rendita è emanata dopo il 1° gennaio 2022, ma il diritto alla rendita è nato prima di questa data, sono applicabili le disposizioni della LAI e dell’OAI nel tenore in vigore fino al 31 dicembre 2021 ”. La cifra 9102 CIRAI, concernente, tra l’altro, il caso di prima concessione di rendite a tempo determinato, prevede che “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 La cifra 1007 e seg. della Circolare concernente le disposizioni transitorie della riforma Ulteriore sviluppo dell’AI sul sistema di rendite lineare (C DT US AI) (valida dal 1. gennaio 2022 e stato al 1. gennaio 2025)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In concreto, sebbene l’assicurato avesse già compiuto 55 anni al 1. gennaio 2025 (cfr. supra consid. 1.1.), egli non beneficiava di una rendita (cfr. supra consid. 1.1. in fine e 1.2. in initio), motivo per cui non torna applicabile la lett. c delle Disposizioni transitorie della modifica legislativa. Avendo presentato la (seconda) domanda di prestazioni nel maggio 2023 (cfr. supra consid. 1.2. in initio), l’eventuale diritto alla rendita sarebbe insorto successivamente alla modifica legislativa di cui sopra, a prescindere dal fatto che si tratti di una domanda tardiva (art. 29 cpv. 2 LAI) o meno (art. 28 cpv. 1 lett. b LAI). Visto quanto precede, in casu torna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In virtù dell'art. 28 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In concreto, valutata la documentazione all’inserto, questo Giudice non ravvisa motivi per non accogliere il gravame e annullare la decisione impugnata come chiesto dall’insorgente e dall’amministrazione medesima, secondo la proposta formulata nella risposta di causa. In effetti, le carenze istruttorie – rilevate dall’insorgente ed ammesse dall’Ufficio AI (cfr. supra consid. 1.3. e 1.4.) – risultano evidenti e pertengono sia alla valutazione medica che a quella economica. Trattasi, in particolare delle contraddizioni in cui è incorso il medico SMR nella valutazione dell’evoluzione dello stato valetudinario (docc. 167, 168, 172 e 182 incarto AI) e dell’errore dell’amministrazione nel determinare l’attività abituale, quest’ultima essendo quella di cuoco (dipendente) presso il grotto della ex moglie (doc. 125 incarto AI) e non quella di aiuto cucina “ per 15h settimanali ” presso il ristorante (doc. 172, pag. 449; docc. 185 e 186 incarto AI). Tali elementi, unitamente alla prospettata necessità di sottoporre il ricorrente ad una perizia specialistica, risultano già di per sé sufficienti per accogliere il gravame. Per il che, gli atti vanno retrocessi all’Ufficio AI affinché proceda con i necessari approfondimenti.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risulta carente, si giustifica il rinvio degli atti all’amministrazione affinché proceda agli approfondimenti necessari, in esito ai quali l’Ufficio AI emanerà una nuova decisione, debitamente preavvisata.</w:t>
      </w:r>
    </w:p>
    <w:p>
      <w:r>
        <w:rPr>
          <w:b/>
        </w:rPr>
        <w:t>E. 2.5</w:t>
      </w:r>
    </w:p>
    <w:p>
      <w:r>
        <w:t>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