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32.2025.55 vom 22. Mai 2025</w:t>
      </w:r>
    </w:p>
    <w:p>
      <w:r>
        <w:t>TI Tribunale d'appello, 2025-05-22, IT</w:t>
      </w:r>
    </w:p>
    <w:p>
      <w:r>
        <w:rPr>
          <w:b/>
        </w:rPr>
        <w:t xml:space="preserve">Quelle: </w:t>
      </w:r>
      <w:r>
        <w:t>https://mcp.opencaselaw.ch/entscheid/ti_gerichte_32.2025.55</w:t>
      </w:r>
    </w:p>
    <w:p>
      <w:r>
        <w:t>FR: TI_GERICHTE 32.2025.55 du 22 mai 2025</w:t>
      </w:r>
    </w:p>
    <w:p>
      <w:r>
        <w:t>IT: TI_GERICHTE 32.2025.55 del 22 maggio 2025</w:t>
      </w:r>
    </w:p>
    <w:p>
      <w:pPr>
        <w:pStyle w:val="Heading2"/>
      </w:pPr>
      <w:r>
        <w:t>Regeste</w:t>
      </w:r>
    </w:p>
    <w:p>
      <w:r>
        <w:t>Ricorso (accolto per adesione) contro decisione di riconoscere diritto a una rendita limitata nel tempo. Violazione del dovere di collaborazione: A. ha prodotto refertazioni decisive solo con l’impugnativa. No spese di procedura. No ripetibili. No assistenza giudiziaria con esenzione da anticipi</w:t>
      </w:r>
    </w:p>
    <w:p>
      <w:pPr>
        <w:pStyle w:val="Heading2"/>
      </w:pPr>
      <w:r>
        <w:t>Erwägungen</w:t>
      </w:r>
    </w:p>
    <w:p>
      <w:r>
        <w:rPr>
          <w:b/>
        </w:rPr>
        <w:t>E. 31</w:t>
      </w:r>
    </w:p>
    <w:p>
      <w:r>
        <w:t>agosto 2015, in particolare consid. 5.2, 5.3 e 6.1; STF 8C_452/2011 del 12 marzo 2012; STF 9C_807/2014 del 9 settembre 2015; STF 9C_585/2014 dell’8 settembre 2015). nel merito 2.2.  Oggetto del contendere è sapere se a giusta ragione o meno l’Ufficio AI ha riconosciuto il diritto ad una rendita dal 1. ottobre 2018 al 31 luglio 2023 o se, come sostiene il ricorrente, quest’ultimo avrebbe diritto ad una rendita intera anche successivamente.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nella versione in vigore fino al 31 dicembre 2021, prescrive che gli assicurati hanno diritto ad una rendita intera se sono invalidi almeno al 70%, a tre quarti di rendita se sono invalidi almeno al 60%, ad una mezza rendita se sono invalidi almeno al 50% o a un quarto di rendita se sono invalidi almeno al 40%. Con il nuovo art. 28b LAI (in vigore dal 1. gennaio 2022)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OAI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 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Circa gli effetti della modificazione di un diritto ad una rendita d’invalidità, l’art. 88 bis cpv. 1 OAI stabilisce che l’aumento della rendita, dell’assegno per grandi invalidi o del contributo per l’assistenza avviene al più presto: se l’assicurato ha chiesto la revisione a partire dal mese in cui la domanda è stata inoltrata (lett. a); se la revisione ha luogo d’ufficio, a partire dal mese in cui è stata prevista (lett. b); se viene costatato che la decisione dell’ufficio AI, sfavorevole all’assicurato, era manifestamente errata, a partire dal momento in cui il vizio è stato scoperto (lett. c). L’art. 88 bis cpv. 2 lett. a OAI stabilisce che la riduzione o la soppressione della rendita, dell’assegno per grandi invalidi o del contributo per l’assistenza è messa in atto il più presto, il primo giorno del secondo mese che segue la notifica della decisione. L’art. 88 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2.7. In concreto, questo Giudice non ravvisa alcun motivo per non accogliere il gravame secondo la proposta formulata nella risposta di causa e condivisa dal ricorrente il 23 luglio 2025 . Infatti, per poter valutare l’eventuale diritto dell’insorgente ad una rendita, occorre innanzitutto fugare qualsiasi dubbio circa il suo stato valetudinario e la capacità lavorativa (residua). Considerato che lo stesso medico SMR ha evidenziato la necessità di ulteriori accertamenti, un approfondimento medico risulta in casu imprescindibile. Per quanto attiene alla (incontestata) valutazione economica, la stessa appare prematura, visto che la capacità lavorativa del ricorrente dev’essere ancora compiutamente acclarata. Per il che, gli atti vanno retrocessi all’Ufficio AI affinché proceda con i necessari approfondimenti, in esito ai quali emanerà una nuova decisione, debitamente preavvisata. Infatti,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diffusamente esposte l’istruttoria amministrativa risulta carente, si giustifica il rinvio degli atti all’amministrazione affinché proceda agli approfondimenti necessari, in esito ai quali l’Ufficio AI emanerà una nuova decisione, debitamente preavvisata. 2.8.  Quo all’accollo delle spese di procedura giusta gli artt. 69 cpv. 1 bis LAI e 29 cpv. 2 Lptca, va osservato quanto segue. Nell’ambito delle assicurazioni sociali la procedura è retta dal principio inquisitorio, secondo cui i fatti rilevanti per il giudizio devono essere accertati dall’autorità che intraprende i necessari accertamenti e raccoglie le informazioni di cui ha bisogno (cfr. art. 43 cpv. 1 LPGA; STF 8C_445/2021 del 14 gennaio 2022 consid. 4.4). Tuttavia, questo principio non è assoluto, atteso che la sua portata è limitata dall’obbligo delle parti di collaborare nell’accertamento dei fatti (art. 43 cpv. 2 LPGA; DTF 145 V 90 consid. 3.2, 122 V 157 consid. 1a, 121 V 210). Il dovere di collaborazione comprende in particolare l’obbligo delle parti di apportare – ove ciò fosse ragionevolmente esigibile – le prove necessarie, avuto riguardo alla natura della disputa e ai fatti invocati, ritenuto che in caso contrario rischiano di dover sopportare le conseguenze della carenza di prove (DTF 117 V 261 consid. 4b con riferimento). In concreto, come rettamente rilevato dall’Ufficio AI (cfr. supra consid. 1.7.) e rimasto peraltro incontestato, durante la lunga procedura amministrativa (cfr. supra consid. 1.1. e 1.4. in fine) l’assicurato non ha mai fatto menzione di un’affezione psichiatrica, ciò che ha condotto l’amministrazione a limitare la valutazione medico-teorica alla componente somatica. È solo con il gravame che il (rappresentante del) ricorrente ha prodotto delle refertazioni mediche attestanti un’affezione psichiatrica pregressa (cfr. supra consid. 1.5. e 1.6.) e asseritamente invalidante, tant’è che durante la presente procedura l’Ufficio AI ha dovuto attivarsi proprio per ottenere e versare agli atti, con la risposta di causa, il rapporto del 4 marzo 2025 della Clinica di riabilitazione di __________ (cfr. supra consid. 1.7.) menzionato nel certificato del 3 giugno 2025. Va inoltre evidenziato che le refertazioni di cui il ricorrente si prevale e che menzionano una patologia psichiatrica erano state allestite prima dell’impugnativa e l’insorgente non ha mai spiegato, neppure nella presente procedura, la ragione per cui non le ha prodotte in sede d’istruttoria amministrativa. Ne consegue che l’Ufficio AI non poteva, fondandosi esclusivamente sulla documentazione a disposizione fino all’emanazione della decisione impugnata, supporre l’esistenza di un’affezione psichiatrica potenzialmente invalidante. D’altra parte, per l’insorgente era ragionevolmente esigibile apportare le refertazioni mediche attestanti l’affezione psichiatrica asseritamente invalidante già nell’ambito dell’istruttoria amministrativa. Tale (in)agire, oltre a configurare una violazione del summenzionato dovere di collaborazione, ha causato la procedura ricorsuale. In tali circostanze e stante l’esito del gravame, appare giustificato prescindere sia dall’accollo delle spese di procedura a carico delle parti sia delle ripetibili a carico dell’Ufficio AI. Per quanto concerne la domanda di assistenza giudiziaria tendente all’esenzione dagli anticipi ex art. 3 cpv. 1 LAG (cfr. supra consid. 1.6. e 1.9.), la stessa è priva d’oggetto, non essendo stato chiesto alcun anticipo.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