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32.2025.54 vom 17. Oktober 2022</w:t>
      </w:r>
    </w:p>
    <w:p>
      <w:r>
        <w:t>TI Tribunale d'appello, 2022-10-17, IT</w:t>
      </w:r>
    </w:p>
    <w:p>
      <w:r>
        <w:rPr>
          <w:b/>
        </w:rPr>
        <w:t xml:space="preserve">Quelle: </w:t>
      </w:r>
      <w:r>
        <w:t>https://mcp.opencaselaw.ch/entscheid/ti_gerichte_32.2025.54</w:t>
      </w:r>
    </w:p>
    <w:p>
      <w:r>
        <w:t>FR: TI_GERICHTE 32.2025.54 du 17 octobre 2022</w:t>
      </w:r>
    </w:p>
    <w:p>
      <w:r>
        <w:t>IT: TI_GERICHTE 32.2025.54 del 17 ottobre 2022</w:t>
      </w:r>
    </w:p>
    <w:p>
      <w:pPr>
        <w:pStyle w:val="Heading2"/>
      </w:pPr>
      <w:r>
        <w:t>Erwägungen</w:t>
      </w:r>
    </w:p>
    <w:p>
      <w:r>
        <w:rPr>
          <w:b/>
        </w:rPr>
        <w:t>E. 3</w:t>
      </w:r>
    </w:p>
    <w:p>
      <w:r>
        <w:t>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(DTF 109 V 114 consid. 2b, 123 consid. 3b e 264 consid. 3; STFA I 619/04 del 10 febbraio 2005, consid. 3.1; STF 8C_716/2011 del 5 gennaio 2012 consid. 2.3.; v. anche SVR 2003 IV n. 25 p. 76). 2.4. Per costante giurisprudenza (STF 8C_901/2013 del 27 febbraio 2014 consid. 3.1.; STF 8C_457/2012 del 9 luglio 2012 consid. 3.1.; STFA I 734/05 dell’8 marzo 2006 consid. 2.2.1.; DTF 130 V 64 consid. 5.2.5.) nell’ambito di una nuova domanda di prestazioni, l’assicurato, come accennato (cfr. supra consid. 2.3.), deve rendere verosimile che il grado d’invalidità si è modificato in misura rilevante per il diritto alle prestazioni, in alternativa deve fare riferimento a mezzi di prova, segnatamente rapporti medici, non ancora prodotti o da richiedere dall’amministrazione atti a rendere verosimile l’asserita modifica. In questo secondo caso l’amministrazione deve impartire all’assicurato un termine per produrre il mezzo di prova in questione con l’avvertenza che in caso contrario non entrerà nel merito della domanda. Se, per contro, nella nuova domanda l’assicurato non ha neppure fatto riferimento a tali nuovi mezzi di prova, l’Ufficio AI può determinarsi sulla (non) entrata in materia basandosi sulla documentazione agli atti. Nelle citate pronunzie, la nostra Alta Corte ha ribadito che l’intervallo da considerare per la valutazione della modifica rilevante è quello tra l’ultima valutazione materiale del diritto alla rendita e l’emanazione della decisione impugnata, lasciando intendere che la documentazione prodotta con le osservazioni al preavviso deve essere considerata dall’amministrazione. Inoltre, atti prodotti (esclusivamente) in sede di ricorso sono invece, di massima, tardivi e da considerare, se del caso, nell'ambito di una nuova domanda (STF 8C_901/2013 consid. 3.3.2.; STF 8C_457/2012 consid. 3.1. e seg.; STFA I 734/05 consid. 2.2.2. e 3.2.; DTF 130 V 64 consid. 3. e 6.1.; STCA 32.2020.77 del 9 novembre 2020 consid. 2.4. e seg.; Sentenza 720 14 172 / 202 del 21 agosto 2014 della Sezione di diritto delle assicurazioni sociali del Tribunale cantonale di Basilea Campagna consid. 3.1 e seg.). 2.5. Nella fattispecie in esame, il 18 aprile 2025 RI 1 ha presentato una seconda domanda di prestazioni adducendo un’incapacità lavorativa completa per 54 giorni nel 2024 (dal 26 agosto al 13 settembre e dal 16 settembre al 20 ottobre 2024), indicando quale danno alla salute “ Emiparesi destra 28 anni fa, dolore alla cervicale 3 anni fa, scogliosi 15 anni fa ” ed allegando una lista di diagnosi stilata dalla Clinica __________, la lettera di consultazione ambulatoriale della dr.ssa __________ ed il rapporto della dr.ssa __________ della Clinica __________ (cfr. supra consid. 1.2. in initio). Valutata la refertazione prodotta con la seconda domanda di prestazioni, la dr.ssa __________ del SMR ha concluso non esservi alcuna nuova patologia e quindi nessun fatto nuovo, rispettivamente nessuna modificazione significativa di fatti medici noti, ritenendo quindi ingiustificata l’entrata in materia (cfr. supra consid. 1.2. in fine). Con il ricorso interposto alla decisione dell’11 giugno 2025 RI 1 ha censurato la valutazione medica, sostenendo di aver sviluppato dal 2021 “ nuove limitazioni fisiche gravi e invalidanti che non erano mai presenti né documentate nel 2018 ”, “ in particolare: · Cervicalgia cronica sinistra, con contrattura dei muscoli paravertebrali e del trapezio; · Dorsalgia da sovraccarico funzionale dovuto a compenso posturale; · Ridotta capacità funzionale dell’arto sinistro, che fino a pochi anni fa era la mia parte “valida”; · Incapacità a mantenere la posizione seduta oltre 60 minuti; · Dolore acuto durante e dopo attività informatiche leggere; · Fallimento di numerosi tentativi terapeutici, tra cui fisioterapia intensiva, botulino, farmaci, osteopatia, senza miglioramento ”. Sostiene inoltre che tali sintomi sono oggettivamente documentati dal fatto di essersi sottoposto ad un trattamento in day hospital dal luglio ad ottobre 2024 presso la Clinica __________ con relativo rapporto medico del 21 marzo 2024 della dr.ssa __________ e dalla “ Dr.ssa med. __________ ”, adducendo come “ Nel 2018 non avevo alcun dolore cervicale, alcuna dorsalgia e nessuna difficoltà funzionale alla parte sinistra del corpo. Ero completamente autonomo e pronto a iniziare la mia carriera. L’emiparesi destra era ben compensata e non limitava le attività di vita quotidiana. ” (I, pagg. 1-3). Da parte sua l’Ufficio AI, fondandosi sulle conclusioni della dr.ssa __________, sostiene che lo stato valetudinario dell’insorgente non ha subito alcuna modifica sostanziale tra la prima e la seconda domanda di prestazioni, confermando la bontà della decisione impugnata (cfr. supra consid. 1.5. e 1.7.). 2.6.  Prima di analizzare la documentazione pertinente, occorre precisare che né con la domanda di prestazioni dell’aprile 2025, né con il ricorso e tantomeno nelle more della procedura l’insorgente ha prodotto della documentazione asseritamente allestita dalla dr.ssa __________, né tale asserita nuova documentazione risulta agli atti. Verosimilmente, egli si riferisce alla lettera di consultazione ambulatoriale della dr.ssa __________, inviata alla dr.ssa __________ (specialista in medicina interna), ossia, l’attuale medico curante (cfr. docc. 140 e 145 incarto AI). Ciò premesso, la lettera di consultazione del 13 febbraio 2025 della dr.ssa __________ menziona, tra l’altro, una “ Marcata contrattura a carico del trapezio in regione cervicale ” (doc. 145, pag. 333 incarto AI). Nella lista di diagnosi del 10 marzo 2025 allestita dalla Clinica __________ figura, oltre alla già nota emiparesi destra spatica residua (cfr. doc. 100, pag. 210; doc. 122, pag. 274 e doc. 114, pag. 255 incarto AI), la diagnosi di “ Sindrome cervicobrachiale sinistra ” (doc. 144 incarto AI). Il rapporto del 21 marzo 2025 della Clinica __________ presenta il seguente tenore (sottolineature del redattore): " DIAGNOSI Cervico-brachialgia e dorsalgia sin da sovraccarico e compensi disfunzionali in paziente con: - pregresso ictus in età infantile (9 mesi di età) con emiparesi destra spatica residua. - RM cerebrale e angio-RM intracranica (22.03.2019) […]. - RM dorsale: in sede dorsale, si conferma atteggiamento scoliotico sinistro-convesso e lieve ipercifosi in clinostatismo. non crolli vertebrali recenti. Invariata minima protrusione discale a Th8-Th9. Non compressioni midollari né stenosi del canale rachideo centrale. Non grossolane alterazioni di segnale del midollo, per quanto valutabile in relazione suddetti artefatti. DECORSO Dopo la mia ultima valutazione […] in maggio 2024 [allorquando l’assicurato lavorava come informatico al 100%, n.d.r.] il paziente eseguiva un ciclo di day hospital […] (luglio-settembre 2024, due volte alla settimana ). Durante tale day hospital venivano eseguite mobilizzazioni per i segmenti vertebrali dorso-lombari (sede di compensi) con enfasi sulle direzioni di rotazione e lateroflessione a sinistra . […]. Veniva […] eseguita una valutazione delle attività e degli esercizi che il paziente riusciva a svolgere in autonomia a casa e in palestra e venivano effettuate le necessarie correzioni per quanto riguarda tecnica di esecuzione e gestione dei carichi (per alcuni esercizi il sovraccarico era effettivamente eccessivo e non consentiva una corretta esecuzione). Venivano […] consigliati una serie di adattamenti (scrivania di altezza variabile, sedia regolabile (tipo Vela) con eventuale supporto per il capo, mouse ergonomico e/o polsiera di supporto per ridurre il carico sull’arto superiore e i movimenti ripetitivi. Possibilità di alternare mouse ergonomico a mouse standard. Pause di 20 min ripetute per eseguire movimenti di stretching . Nonostante i trattamenti eseguiti, il paziente continuava ad essere limitato dalle algie , con sollievo temporaneo solo dopo la mesoterapia. A complemento veniva quindi eseguita MRI cervicale eseguita nel corso di tale ciclo riabilitativo era negativa per stenosi del canale, conflitti o faccettopatie. Attualmente paziente riferisce che anche seguendo le indicazioni date e nonostante il lavoro riabilitativo eseguito, persiste un’importante limitazione nello svolgere attività da seduto ed attività con l’AS sin al computer . […] è in disoccupazione […] ma […], quando svolge attività al computer riesce ad essere attivo al massimo per un’ora, poi i dolori ricompaiono . Restando a riposo dopo circa un’ora i dolori si affievoliscono . […] terapie provate finora: Sirdalud senza beneficio , Saroten senza beneficio , Pregabalin senza beneficio , dry needling senza beneficio , tossina botulinica ma all’AS des senza beneficio . Agopuntura mai provata. Osteopatica mai provata. ESAME NEUROLOGICO […] Alla valutazione locale dell’AS sin, alla mobilizzazione passiva ROM completo senza algie, alla digitopressione, algie evocabili alla palpazione dei ventri del trapezio e dell’elevatore della scapola sin . Alla mobilizzazione attiva e contro resistenza moderata algia in zona dei muscoli rotondi in rotazione esterna contro resistenza con moderato deficit di fissazione della scapola . Normale la sensibilità superficiale dell’AS des. CONCLUSIONI E PROCEDERE […] si evince la persistenza di limitazioni nell’uso dell’AS sin in attività ripetitive e/o nel sollevare carichi, peggiorate dal mantenimento prolungato di posture funzionali alle attività, nonostante siano stati messi in atto gli adattamenti ergonomici che erano stati suggeriti […], Sono stati provati molti approcci terapeutici senza beneficio. […] ritengo che sia necessario per il paziente prevedere un’attività lavorativa ridotta, che permetta di avere il giusto equilibrio tra tempo di attività e tempo di riposo. In alternativa si potrebbe provare un reinserimento in attività lavorativa che non preveda movimenti ripetitivi, posture prolungate e/o sollevamento di pesi. Nel frattempo consiglio di eseguire un ciclo di fisioterapia con approccio osteopatico, integrato con lavoro di rinforzo degli stabilizzatori di spalla. Propongo di abbinare a questo trattamento, agopuntura per modulazione del dolore. Se anche tale approccio non dovesse dare beneficio, ritengo che potrebbe essere utile provare un trattamento con tossina botulinica dei muscoli iperattivi di sin a scopo di controllo del dolore . […]”. Da parte sua, l’amministrazione si prevale in sostanza dell’annotazione del 24 aprile 2025 della dr.ssa __________ del SMR (fatto proprio dal collega del SMR dr. __________, cfr. doc. 156 incarto AI), la quale si è così espressa in merito alle surriferite refertazioni (doc. 150 incarto AI, sottolineature del redattore): " […] agli atti è presente numerosa documentazione medica, tra cui: 1) certificazione (al 22.04.2009) [recte: 18 marzo 2009, cfr. doc. 58 incarto AI] redatta dal Dr. __________ che attesta: con la presente si certifica che il summenzionato paziente necessita di 9 sedute di fisioterapia DIAGNOSI: Emiplegia destra Atteggiamento scoliotico toraco-lombare a convessità sinistra Tipo di trattamento: Esercizi di simmetrizzazione muscolare paravertebrale con rinforzo dei paravertebrali sinistri rispetti ai destri. Esercizi di postura. 2) certificazione (al 26.08.2011) [recte: 20 giugno 2011, cfr. doc. 73 incarto AI] redatta dal Dr. __________ che attesta: … Attualmente RI 1 segue una volta alla settimana fisioterapia. Questo ha lo scopo di limitare le complicazioni della spasticità. RI 1 presenta già una limitazione dell’estensione del braccio di destra, leggera scoliosi e dolori importanti alla schiena. Per questo motivo ritengo necessario poter continuare con fisioterapia per poter evitare le conseguenze della spasticità, vale a dire le contratture e soprattutto anche per evitare una scoliosi e diminuire i dolori a livello dorsale. Grazie a questa fisioterapia c’è stato un miglioramento a livello della scoliosi. 3) certificazione (al 06.12.2013) [recte: 5 settembre 2013, cfr. doc. 86 incarto AI] redatta dal Dr. __________ che attesta: Le sarei grato se può seguire in fisioterapia RI 1, giovane adolescente di 19 anni che seguo da parecchi tempo per un’emiparesi congenita a destra e che lamenta ultimamente dolori alla schiena. 4) Rapporto medico Dr. __________ (al 19.06.2018) [recte: 13 giugno 2018, cfr. doc. 114, pag. 257 incarto AI] che tra l’altro attesta: Voglia indicare il modo di procedere/piano di trattamento (terapie, interventi operatori, prescrizione medica) Continua con fisioterapia. Osservazioni L’A. ha eseguito un ciclo di fisioterapia in regime di day hospital presso la clinica __________ (luglio-settembre 2024, due volte la settimana). Nessuna nuova patologia. Inoltre, l’A. redige il nuovo formulario AI ed attesta: 4.3 Inabilità lavorativa Dal 26.08.2024 al 13.09.2024 100% Dal 16.09.2024 al 20.10.2024 100% […] 6.1 Indicazioni dettagliate a riguardo del danno alla salute - vedasi lista diagnosi - certificato clinica __________ Da quando sussiste il danno? Emiparesi destra 28 anni fa, dolore alla cervicale 3 anni fa, scoliosi 15 anni fa. Conclusioni In assenza di fatti nuovi, rispettivamente di modificazioni significative di fatti medici noti NON giustificata l’entrata in materia.” Ora, si rileva che nella seconda domanda di prestazioni dell’aprile 2025 (quindi presentata a distanza di sei anni e mezzo dalla prima valutazione) l’assicurato aveva indicato quale danno alla salute, oltre alla già nota Emiplegia congenita, un “ dolore alla cervicale 3 anni fa, scoliosi 15 anni fa ” (doc. 140, pag. 321 incarto AI), ciò che non era stato menzionato nella precedente domanda di prestazioni, quest’ultima peraltro essendo stata presentata con l’intento di ottenere provvedimenti d’integrazione professionale (cfr. supra consid. 1.1. e doc. 100 incarto AI). A questo proposito, se è vero che la documentazione presente agli atti prima della seconda domanda di prestazioni attestava che il ricorrente era sottoposto a sedute di fisioterapia per il trattamento dei dolori riconducibili alla scoliosi, il rapporto SMR del 27 agosto 2018 non faceva alcuna menzione, neppure tra le diagnosi senza ripercussioni sulla capacità lavorativa, della cervico-brachialgia ma solo della “ Emiplegia congenita Ds ” (cfr. supra consid. 1.1.). Inoltre, nella valutazione SMR del 27 agosto 2018 la dr.ssa __________ aveva esplicitato tra le “ Ulteriori risorse e limiti presenti e disponibili ” che “[l’assicurato, n.d.r.] può svolgere la sua attività abituale di impiegato di commercio/informatico che richiede una postura prevalentemente assisa. Le sue limitazioni sono dovute soprattutto alla paresi dell’arto superiore destro (e dell’arto inferiore destro) per cui tutte le attività che richiedono una precisione bimanuale sono estremamente difficoltose ”. Nella valutazione dei limiti funzionali, il citato medico SMR aveva rilevato non esservi alcuna necessità di alternare la postura al bisogno (doc. 122, pag. 274 e seg. incarto AI). E difatti, conformemente alle conclusioni del SMR dell’agosto 2018, l’assicurato è stato attivo professionalmente come informatico con occupazione al 100% da settembre 2018 al 30 agosto 2024 (docc. 123 e 138; doc. 140, pag. 320 incarto AI) senza che in tale intervallo vi siano state criticità riferite allo stato di salute. Tuttavia, il rapporto della Clinica __________ del 21 marzo 2025 evidenzia una situazione marcatamente diversa rispetto a quella descritta dalla dr.ssa __________ nel 2018. Infatti, dal rapporto della dr.ssa __________ si evince che si è reso necessario un ciclo di day hospital presso la citata clinica per il periodo da luglio a settembre 2024 (due sedute alla settimana) per eseguire esercizi che coinvolgevano l’apparato muscolo-scheletrico, la citata specialista avendo consigliato diversi adattamenti ergonomici e delle pause per alleviare il dolore durante il lavoro alla scrivania, osservando che “ nonostante i trattamenti eseguiti, il paziente continuava ad essere limitato dalle algie, con sollievo temporaneo solo dopo la mesoterapia ”. La neurologa attesta di come il dolore non è scomparso definitivamente neppure dopo essersi sottoposto a molti approcci terapeutici (trattamento farmacologico, dry needling e tossina botulinica). Ella conclude osservando che persistono “ limitazioni nell’uso dell’AS sin in attività ripetitive […] , peggiorate dal mantenimento prolungato di posture funzionali alle attività, nonostante siano stati messi in atto gli adattamenti ergonomici che erano stati suggeriti […]”, accertando come “ In questo contesto ritengo che sia necessario per il paziente prevedere un’attività lavorativa ridotta, che permetta di avere il giusto equilibrio tra tempo di attività e tempo di riposo. In alternativa si potrebbe provare un reinserimento in attività lavorativa che non preveda movimenti ripetitivi, posture prolungate e/o sollevamento di pesi. ” In sintesi, nonostante gli adattamenti ergonomici, gli esercizi coinvolgenti l’apparato muscolo-scheletrico ed i molteplici approcci terapeutici, persistevano dolori che limitano “ l’uso dell’AS sin in attività ripetitive ”, peggiorati dal mantenimento di posture funzionali all’attività di informatico, tanto da causare una (seppure imprecisata) capacità lavorativa ridotta in attività per via del bisogno di pause per riposare, ipotizzando un reinserimento in attività adeguata. Di tutta evidenza, le conclusioni del medico SMR secondo cui non vi è alcuna nuova patologia, alcun fatto nuovo e neppure una modificazione significativa di fatti nuovi è in contraddizione con quanto accertato dalla dr.ssa __________. Il fatto che nella seconda domanda di prestazioni l’assicurato abbia indicato un’incapacità lavorativa completa limitatamente a 54 giorni per il 2024 non osta ad un approfondimento dello stato valetudinario del ricorrente che, come poc’anzi illustrato, si è modificato rispetto alla valutazione del 2018. 2.7.  Visto tutto quanto precede, si deve ritenere che il ricorrente è riuscito a rendere verosimile un aggravamento del suo stato di salute intervenuto dopo l'ultima decisione (dell’</w:t>
      </w:r>
    </w:p>
    <w:p>
      <w:r>
        <w:rPr>
          <w:b/>
        </w:rPr>
        <w:t>E. 8</w:t>
      </w:r>
    </w:p>
    <w:p>
      <w:r>
        <w:t>ottobre 2018) che si è fondata su un esame materiale del diritto alle prestazioni dall'assicurazione invalidità. Vi sono pertanto sufficienti elementi oggettivi per scostarsi dalle considerazioni e dalle conclusioni che il SMR ha tratto nell’annotazione del 24 aprile 2025. Sulla scorta di queste considerazioni, per questo Giudice le affermazioni dell'insorgente su una sua peggiore situazione clinica per rapporto a quella accertata dall'Ufficio AI vanno ulteriormente indagate entrando in materia sulla sua seconda domanda di prestazioni dell’aprile 2025. Gli atti vanno pertanto rinviati all'amministrazione per procedere in tal senso. 2.8.  Alla luce di quanto sopra esposto, la decisione impugnata va annullata. 2.9.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