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 vom 29. November 2024</w:t>
      </w:r>
    </w:p>
    <w:p>
      <w:r>
        <w:t>TI Tribunale d'appello, 2024-11-29, IT</w:t>
      </w:r>
    </w:p>
    <w:p>
      <w:r>
        <w:rPr>
          <w:b/>
        </w:rPr>
        <w:t xml:space="preserve">Quelle: </w:t>
      </w:r>
      <w:r>
        <w:t>https://mcp.opencaselaw.ch/entscheid/ti_gerichte_32.2025.5</w:t>
      </w:r>
    </w:p>
    <w:p>
      <w:r>
        <w:t>FR: TI_GERICHTE 32.2025.5 du 29 novembre 2024</w:t>
      </w:r>
    </w:p>
    <w:p>
      <w:r>
        <w:t>IT: TI_GERICHTE 32.2025.5 del 29 novembre 2024</w:t>
      </w:r>
    </w:p>
    <w:p>
      <w:pPr>
        <w:pStyle w:val="Heading2"/>
      </w:pPr>
      <w:r>
        <w:t>Regeste</w:t>
      </w:r>
    </w:p>
    <w:p>
      <w:r>
        <w:t>Assicurato contesta la reiezione del domanda di rendita per grado d'invalidità non pensionabile. A seguito del ricorso, l'Ufficio AI propone di riconoscere una rendita d'invalidità, proposta convalidata dal TCA</w:t>
      </w:r>
    </w:p>
    <w:p>
      <w:pPr>
        <w:pStyle w:val="Heading2"/>
      </w:pPr>
      <w:r>
        <w:t>Erwägungen</w:t>
      </w:r>
    </w:p>
    <w:p>
      <w:r>
        <w:rPr>
          <w:b/>
        </w:rPr>
        <w:t>E. 26</w:t>
      </w:r>
    </w:p>
    <w:p>
      <w:r>
        <w:t>marzo 2025 In nome della Repubblica e Cantone Ticino Il vicepresidente del Tribunale cantonale delle assicurazioni Giudice Raffaele Guffi con redattore: Marco Bischof , cancelliere segretario: Gianluca Menghetti statuendo sul ricorso del 16 gennaio 2025 di RI 1 rappr. da:   RA 1 contro la decisione del 29 novembre 2024 emanata da Ufficio assicurazione invalidità, 6501 Bellinzona in materia di assicurazione federale per l'invalidità considerato in fatto e in diritto che                         -  RI 1, nato nel 1965, dal 1980 attivo nella ditta individuale __________ in qualità di lattoniere, nel maggio 2024 ha inoltrato una domanda di prestazioni AI per adulti (doc. 74, se non diversamente indicato i documenti citati si riferiscono agli atti dell’Ufficio AI prodotti con la risposta di causa). Tre precedenti domande di prestazioni erano state respinte dall’Ufficio AI il 20 novembre 2017 (doc. 42), il 28 gennaio 2021 (doc. 64) ed il 23 settembre 2022 (doc. 72); -  dopo aver esperito i necessari accertamenti medici ed economici, con decisione 29 novembre 2024, debitamente preavvisata, l’amministrazione ha nuovamente negato il diritto a prestazioni, presentando l’assicurato un grado d’invalidità non pensionabile del 19%; -  contro questa decisione l’assicurato, rappresentato dall’avv. RA 1, è tempestivamente insorto. Contestando i redditi senza e con invalidità ha concluso: " Ritenuto un reddito senza invalidità di CHF 107'500 ed un reddito da invalido teorico di CHF 58'548.- (tabelle RSS, totali settore maschile, attività semplici e ripetitive nel settore 3 Servizi), ridotto del 25%, riporta un reddito da invalido di CHF 43'911.- ed un grado d’invalidità del 59%. Pertanto, segnatamente per i motivi sopra addotti, è congruo riconoscere al signor RI 1 una mezza rendita, corrispondente ad un grado d’invalidità di almeno il 50%, ciò che, tra l’altro, corrisponde alla situazione effettiva nella ditta in cui lavora, dopo l’adozione di provvedimenti integrativi”; -  con la risposta di causa l’Ufficio AI, esaminata la documentazione prodotta dal ricorrente, ha proposto il riconoscimento del diritto ad una rendita di grado del 50%, determinato secondo il raffronto percentuale dei redditi, dal 1° ottobre 2024 con versamento dal 1° novembre 2024 trattandosi di una domanda tardiva; -  con scritto 27 febbraio 2025 l’assicurato ha aderito alla proposta dell’Ufficio AI (VI);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  il 1° gennaio 2022 è entrata in vigore una (importante) modifica della LAI e dell’OAI denominata “Ulteriore sviluppo dell’AI” e che concerne (anche) il diritto alla rendita (cfr. RU 2021 705).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w:t>
      </w:r>
    </w:p>
    <w:p>
      <w:r>
        <w:rPr>
          <w:b/>
        </w:rPr>
        <w:t>E. 31</w:t>
      </w:r>
    </w:p>
    <w:p>
      <w:r>
        <w:t>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concreto, l’anno di attesa (art. 28 cpv. 1 lett. b LAI) è incontestatamente scaduto nel mese di ottobre 2024. Il diritto alla rendita con relativo versamento è sorto il 1° novembre 2024, ossia sei mesi dopo la domanda di prestazioni inoltrata nel mese di maggio 2024 (art. 29 cpv. 1 LAI). Per questi motivi, applicabile è il diritto in vigore dal 1° gennaio 2022;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  nel caso concreto, per quel che concerne il reddito da valido, nella risposta di causa l’Ufficio AI ha osservato: " (…) Nel merito della disputa, l'UAI tiene innanzitutto a segnalare di condividere la richiesta di rettifica presentata in ricorso relativamente al reddito da sano dell'assicurato. Come indicato al pt. 5.1 del questionario datore di lavoro del 18 luglio 2024, il salario senza invalidità dell'assicurato deve ammontare a CHF 107'500. - (cfr. il doc. 85 dell'incarto Al qui annesso). Il reddito da valido ritenuto nella decisione impugnata, pari a CHF 73772. -, costituisce infatti un salario ridotto in considerazione delle indennità giornaliere susseguenti all'infortunio del 18 ottobre 2023 e non è da ritenersi in linea con i salari acquisiti dall'assicurato nel corso degli ultimi anni (cfr. l'estratto conto individuale del 5 giugno 2024 e l'annotazione per rincarto del 3 febbraio 2025 allestita dopo l'aggiornamento dell'incarto della Suva; doc. 115, 116 e 359-391). (…)” (doc. IV pag. 2) Pertanto, senza il danno alla salute l’assicurato avrebbe conseguito un reddito di fr. 107'500 come del resto proposto dall’insorgente stesso; -  riguardo al reddito da invalido nella decisione contestata l’Ufficio AI, utilizzando le tabelle RSS 2022, settore maschile, attività semplici e ripetitive con una riduzione sociale del 10%, l’ha fissato in fr. 59'639,18. Questo dato aggiornato al 2023 ammonta a fr. 60'736,25 (cfr. tabella 31 gennaio 2025 del consulente in integrazione professionale in doc. 112). Dal raffronto tra il succitato importo con il reddito da valido di fr. 107'500, risulterebbe un grado d’invalidità del 43,5% ([ 107'500 - 60'736,25 ] x 100 : 107'500), come del resto fatto presente nella risposta di causa; -  tuttavia, sempre nella risposta di causa, l’Ufficio AI ha fatto presente: " (…) Relativamente al reddito con invalidità, l'UAI reputa però ora necessario rinunciare alla richiesta di cambio di professione per una questione di proporzionalità. Scelta che potrebbe essere eventualmente rivista in sede di revisione qualora sopraggiungessero delle ulteriori modifiche della situazione lavorativa dell'assicurato (artt. 17 cpv. 1 let. a e 31 LPGA, nonché 77 e 87 OAI). Al riguardo, l'UAI rileva come nel contesto del ricorso è stato precisato come l’assicurato sia stato nel frattempo reintegrato al 50% in seno all'azienda di famiglia con mansioni leggere adatte allo stato di salute, continuando a percepire un salario di CHF 53’750.- (cfr. il primo paragrafo della pagina 8 del ricorso e l'attestazione del datore di lavoro del 15 gennaio 2025 di cui al doc. E incarto TCA). Salario di poche migliaia di franchi inferiore a quello di CHF 60736. - (per un'attività al 100%) figurante nella succitata tabella CGR del 31 gennaio 2025 e che porta a concludere che lo stesso stia facendo un uso ragionevole della sua capacità di guadagno residua (sentenza del Tribunale federale 8C_829/2023, consid. 6.3) (sottolineatura del redattore). A tale aspetto, dev'essere inoltre aggiunto il fatto che l’assicurato - ad oggi 60 enne - ha sempre e solo svolto attività pesanti presso il medesimo datore di lavoro e non dispone di conoscenze professionali immediatamente sfruttabili (soprattutto quelle d'ufficio citate a livello medico; cfr. la valutazione fiduciaria ricapitolativa del Dr. med. __________ del 18 settembre 2024; doc. 442). Circostanze che imporrebbero al Servizio di integrazione professionale di accompagnare lo stesso nell'inserimento di un'attività adatta (ad esempio mediante le misure di cui agli artt. 18-18d LAI). Costi che sarebbero verosimilmente maggiori a quelli del lieve incremento di grado di rendita dovuto alla rinuncia della richiesta di cambio di impiego. Sul fondamento di tale valutazione, l'UAI rinvia da ultimo alle note marginali 3406 e 3407 della Circolare sull'invalidità e sulla rendita nell'assicurazione per l'invalidità (GIRAI), alla più recente giurisprudenza dell'Alta Corte (p. es. la sentenza del Tribunale federale 8C_305/2023, consid. 4.2) e alla decisione del medesimo tenore di quella qui presentata presa dall'assicuratore perdita di guadagno malattia dell'assicurato Helsana (cfr. la decisione dell'11 novembre 2024; doc. 443). (…)” (doc. IX pag. 2); -  viste le succitate motivazione, alla proposta dell’Ufficio AI di rinunciare alla richiesta di cambio di professione va data adesione. Di conseguenza, va ritenuto che RI 1 sfrutta al meglio la sua residua capacità lavorativa presso il medesimo datore di lavoro dove ha iniziato la sua attività nel 1980, quindi prima del danno alla salute, nella misura del 50%, motivo per cui questo Giudice conferma la determinazione del grado d’invalidità mediante il raffronto percentuale dei redditi. Va al riguardo rilevato che, secondo giurisprudenza riassunta in 9C_225/2016 del 14 luglio 2016,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 sentenze 8C_628/2015 del 6 aprile 2016 consid. 5.3.5 e 8C_211/2013 del 3 ottobre 2013 consid. 4.1 con i riferimenti pubblicata in SVR 2014 UV n. 1 pag. 1; Meyer/Reichmuth, Bundesgesetz über die Invalidenversicherung [IVG], 3 a ed. 2014, n. 35 e seg. ad art. 28 a LAI) . L'applicazione di questo metodo si giustifica quando il salario da valido e quello da invalido sono fissati in base agli stessi dati statistici, oppure quando il lavoro precedentemente svolto è ancora possibile (perché il contratto di lavoro per esempio non è stato sciolto) , oppure quando questo lavoro offre le migliori possibilità di reintegrazione professionale (perché per esempio il salario prima dell'invalidità è superiore a quello da invalido) (sentenze 9C_310/2009 del 14 aprile 2010 consid. 3.2 e 8C_294/2008 del 2 dicembre 2008 consid. 6.4.1; sottolineatura del redattore). Pertanto, siccome nel caso concreto l’assicurato svolge un’attività lucrativa al 50% presso lo stesso datore di lavoro, non risultando altre attività consone al suo stato di salute dove egli possa percepire uno reddito maggiore, il grado d’invalidità, in applicazione del raffronto percentuale, corrisponde al 50%; -  visto quanto sopra, scaduto nell’ottobre 2024 l ’anno di attesa (art. 28 cpv. 1 lett. b LAI), il diritto alla rendita con relativo versamento è tuttavia sorto il 1° novembre 2024, ossia sei mesi dopo la domanda di prestazioni presentato nel maggio 2024 (art. 29 cpv. 1 LAI). Per questi motivi, alla proposta di giudizio dell’Ufficio AI, del resto avallata dall’assicurato stesso con scritto 27 febbraio 2025, va prestata adesione; -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L’insorgente chiede il riconoscimento di fr. 3'237,60 a titolo di ripetibili, producendo la nota d’onorario allegata allo scritto 27 febbraio 2025 (VI/1). Il ricorrente, patrocinato da un avvocato e vittorioso in causa, ha diritto a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la tariffa oraria di riferimento per le pratiche senza valore determinato o determinabile, rinviando per il resto all’applicazione per analogia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 e 610). Per quanto concerne le spese (spese di cancelleria, come quelle di spedizione, di comunicazione, delle fotocopie e di apertura e archiviazione dell’incarto), l’art. 6 cpv. 1 del Regolamento pone il principio secondo il quale al patrocinatore può essere riconosciuto un importo forfettario in per cento dell’onorario. Nel caso in disamina, ritenuta la non complessità della causa (da non confondere con l’esigenza di supporto di un legale relativa alla domanda di gratuito patrocinio per la procedura amministrativa) conclusasi in sostanza con il primo scambio di allegati, la familiarità del patrocinatore con la fattispecie in esame, stante il principio inquisitorio vigente nel diritto delle assicurazioni sociali che allevia il lavoro del patrocinatore (DTF 114 V 87 consid. 4b, 110 V 365 consid. 3c), dovendo essere considerate unicamente le prestazioni necessarie per lo svolgimento del patrocinio in ottica ricorsuale e considerato che la valutazione del lavoro svolto dall’avvocato avviene prendendo quale parametro un avvocato sperimentato nel diritto delle assicurazioni sociali (Leuzinger-Näf, Bundesrechtliche Verfahrensanforderungen betreffend Verfahrenskosten, Parteientschädigungund unentgeltlichen Rechtsbeistand im Sozialversicherungsrecht, in: SZS 1991 pag. 186; DTF 110 V 362-365 consid. 3b), appare giustificato riconoscere fr. 2’000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