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32.2025.37 vom 10. März 2025</w:t>
      </w:r>
    </w:p>
    <w:p>
      <w:r>
        <w:t>TI Tribunale d'appello, 2025-03-10, IT</w:t>
      </w:r>
    </w:p>
    <w:p>
      <w:r>
        <w:rPr>
          <w:b/>
        </w:rPr>
        <w:t xml:space="preserve">Quelle: </w:t>
      </w:r>
      <w:r>
        <w:t>https://mcp.opencaselaw.ch/entscheid/ti_gerichte_32.2025.37</w:t>
      </w:r>
    </w:p>
    <w:p>
      <w:r>
        <w:t>FR: TI_GERICHTE 32.2025.37 du 10 mars 2025</w:t>
      </w:r>
    </w:p>
    <w:p>
      <w:r>
        <w:t>IT: TI_GERICHTE 32.2025.37 del 10 marzo 2025</w:t>
      </w:r>
    </w:p>
    <w:p>
      <w:pPr>
        <w:pStyle w:val="Heading2"/>
      </w:pPr>
      <w:r>
        <w:t>Regeste</w:t>
      </w:r>
    </w:p>
    <w:p>
      <w:r>
        <w:t>Ricorso (accolto per adesione) contro la decisione di rifiuto della rendita. Valutazione medica carente. UAI contesta (a torto) accollo di spese e ripetibili: i.c. non vi è una violazione del diritto di collaborare imputabile all’A., quindi UAI – soccombente – deve accollarsi spese e ripetibili</w:t>
      </w:r>
    </w:p>
    <w:p>
      <w:pPr>
        <w:pStyle w:val="Heading2"/>
      </w:pPr>
      <w:r>
        <w:t>Erwägungen</w:t>
      </w:r>
    </w:p>
    <w:p>
      <w:r>
        <w:rPr>
          <w:b/>
        </w:rPr>
        <w:t>E. 31</w:t>
      </w:r>
    </w:p>
    <w:p>
      <w:r>
        <w:t>agosto 2015, in particolare consid. 5.2, 5.3 e 6.1; STF 8C_452/2011 del 12 marzo 2012; STF 9C_807/2014 del 9 settembre 2015; STF 9C_585/2014 dell’8 settembre 2015). nel merito 2.2.  Oggetto del contendere è sapere se a giusta ragione o meno l’Ufficio AI ha negato all’insorgente il diritto a prestazioni AI. 2.3.  L’invalidità è l'incapacità al guadagno presunta permanente o di rilevante durata, cagionata da un danno alla salute fisica o psichica, conseguente a infermità congenita, malattia o infortunio (combinati artt. 4 cpv. 1 LAI e 7 e 8 LPGA). Gli elementi costitutivi dell'invalidità sono il danno alla salute fisica mentale o psichica conseguente a infermità congenita, malattia o infortunio, e la conseguente incapacità di guadagno. Il danno alla salute deve aver cagionato una diminuzione della capacità di guadagno, perché il caso possa essere sottoposto all'assicurazione per l'invalidità ( Duc, L’assurance invalidité, in: Meyer (Hrsg.), Schweizerisches Bundesverwaltungsrecht, Band XIV, Soziale Sicherheit, 2a ed., 2007, p. 1411, n. 46 ). L’incapacità, totale o parziale, al lavoro è l’incapacità derivante da un danno alla salute fisica mentale o psichica di compiere un lavoro ragionevolmente esigibile nella professione o nel campo di attività abituale. Se l’incapacità al lavoro è di lunga durata possono essere prese in considerazione anche le mansioni esigibili in un'altra professione o campo d'attività (art. 6 LPGA). L'incapacità al guadagno consiste nella perdita, totale o parziale, della possibilità di guadagno sul mercato del lavoro equilibrato, provocata da un danno alla salute fisica, mentale o psichica e che perdura dopo aver sottoposto l'assicurato alle cure ed alle misure d'integrazione ragionevolmente esigibili (art. 7 LPGA). L’invalidità è l’incapacità al guadagno totale o parziale presumibilmente permanente o di lunga durata (art. 8 cpv. 1 LPGA). La nozione d'invalidità (artt. 4 cpv. 1 LAI e 8 cpv. 1 LPGA) è di carattere giuridico economico, non medico (DTF 116 V 249 consid. 1b). Giusta l'art. 28 cpv. 1 LAI, l'assicurato ha diritto ad una rendita se: a. la sua capacità al guadagno o la sua capacità di svolgere le mansioni consuete non può essere ristabilita, mantenuta o migliorata mediante provvedimenti d'integrazione ragionevolmente esigibili; b. ha avuto un'incapacità al lavoro almeno del 40% in media durante un anno senza notevole interruzione; e c. al termine di questo anno è invalido almeno al 40%. Giusta l’art. 28b LAI, gli assicurati hanno diritto ad una rendita intera se sono invalidi almeno al 70% (cpv. 3) e ad un quarto di rendita se sono invalidi almeno al 40% (cpv. 4) e se il grado d'invalidità si pone tra il 40% e il 49% l'importo della rendita viene computato del 2,5% per ogni grado d'invalidità supplementare (cpv. 4); se il grado d'invalidità si situa tra il 50% e il 69%, la quota percentuale corrisponde al grado d'invalidità (cpv. 2). Il grado d’invalidità è determinato dal rapporto fra il reddito da invalido ed il reddito da valido (art. 16 LPGA), ossia il reddito che l'assicurato avrebbe potuto conseguire se non fosse divenuto invalido con quello ch'egli può tuttora realizzare, benché invalido, sfruttando la residua capacità lavorativa in attività da lui ragionevolmente esigibili nel mercato del lavoro, previa adozione di eventuali provvedimenti integrativi (metodo generale del raffronto dei redditi; DTF 128 V 30, 104 V 136; Pratique VSI 2000 p. 84) . 2.4.  Per quanto riguarda l'invalidità cagionata da un danno alla salute psichica è decisivo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 2015 il Tribunale federale ha sancito che l’accertamento del diritto a una rendita AI in presenza di disturbi somatoformi senza cause organiche oggettivabili (dolori somatoformi) e analoghe affezioni psicosomatiche deve avvenire attraverso una procedura probatoria strutturata, dovendosi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(STF 9C_492/2014 del 3 giugno 2015 pubblicata in DTF 141 V 281; Comunicato stampa del Tribunale federale del 17 giugno 2015). In due sentenze del 30 novembre 2017 (STF 8C_841/2016 e 8C_130/2017, pubblicate in DTF 143 V 409 e 143 V 418), il Tribunale federale ha stabilito che la giurisprudenza sviluppata per i dolori somatoformi persistenti deve trovare applicazione a tutti i casi ove è richiesta una rendita AI in presenza di disturbi psichici. Oltre alla classificazione medica ed alla diagnosi, è decisiva la questione delle ripercussioni funzionali di un disturbo. Per la valutazione delle conseguenze di un’affezione psichica la diagnosi non è più centrale.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non è né l'origine del mezzo di prova, né la denominazione, ad esempio quale perizia o rapporto bensì il suo contenuto (DTF 125 V 352 consid. 3 e 122 V 160 consid. 1c in fine con rinvii).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I 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In concreto, questo Giudice non ravvisa alcun motivo per non accogliere il gravame secondo la proposta formulata con osservazioni del 3 ottobre 2025 e condivisa dal ricorrente il 9 ottobre 2025. Infatti, per poter valutare l’eventuale diritto dell’insorgente ad una rendita, occorre innanzitutto fugare qualsiasi dubbio circa il suo stato valetudinario e la capacità lavorativa (residua). Considerato che entrambe le specialiste del SMR hanno evidenziato la necessità di ulteriori accertamenti, un approfondimento medico risulta in casu imprescindibile. Per il che, gli atti vanno retrocessi all’Ufficio AI affinché proceda con i necessari approfondimenti, in esito ai quali emanerà una nuova decisione, debitamente preavvisata. Infatti,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In concreto, rilevato che per le ragioni già diffusamente esposte l’istruttoria amministrativa risulta carente, si giustifica il rinvio degli atti all’amministrazione affinché proceda agli approfondimenti necessari, in esito ai quali l’Ufficio AI emanerà una nuova decisione, debitamente preavvisata. 2.7.  Quo all’accollo delle spese di procedura giusta gli artt. 69 cpv. 1bis LAI e 29 cpv. 2 Lptca e delle ripetibili giusta gli artt. 61 lett. g. e 30 cpv. 1 e 2 Lptca, va osservato quanto segue. Nell’ambito delle assicurazioni sociali la procedura è retta dal principio inquisitorio, secondo cui i fatti rilevanti per il giudizio devono essere accertati dall’autorità che intraprende i necessari accertamenti e raccoglie le informazioni di cui ha bisogno (cfr. art. 43 cpv. 1 LPGA; STF 8C_445/2021 del 14 gennaio 2022 consid. 4.4). Tuttavia, questo principio non è assoluto, atteso che la sua portata è limitata dall’obbligo delle parti di collaborare nell’accertamento dei fatti (art. 43 cpv. 2 LPGA; DTF 145 V 90 consid. 3.2, 122 V 157 consid. 1a, 121 V 210). Il dovere di collaborazione comprende in particolare l’obbligo delle parti di apportare – ove ciò fosse ragionevolmente esigibile – le prove necessarie, avuto riguardo alla natura della disputa e ai fatti invocati, ritenuto che in caso contrario rischiano di dover sopportare le conseguenze della carenza di prove (DTF 117 V 261 consid. 4b con riferimento). In casu, si rileva che dopo l’incidente stradale del 17 maggio 2021 con conseguente ricovero d’urgenza e degenza all’__________ di __________ fino al 21 maggio 2021 (l’assicurato ha chiesto di essere dimesso anticipatamente, contrariamente al parere dei medici), RI 1 è stato degente presso il __________ dal 29 maggio al 4 giugno 2021. Già il 31 maggio 2021 egli ha destato l’attenzione dei medici per questioni di carattere psichiatrico, rendendosi necessaria una “ Valutazione urgente per comportamento verbalmente aggressivo e non collaborante ”, il medico che l’ha visitato avendo messo a protocollo che “ Il paziente rifiuta la collaborazione, sempre verbalmente aggressivo e insiste su rientro a domicilio oggi, sottovalutando completamente la gravità della situazione. I genitori non sono in grado di gestire il figlio a casa ” ed avendo indicato come “ Il padre riferisce un cambio dello stato cognitivo da dopo il trauma, peggiorato sensibilmente al risveglio dall’anestesia generale […] riferendo appunto un’importante aggressività verbale. […] sarebbero programmati una valutazione neuropsicologica (valutazione di ev. bisogno di riabilitazione alla Clinica __________) […]” (doc. 57, pagg. 124-126 incarto AI). Nel rapporto di medesima data concernente la valutazione neuropsicologica, il dr. __________ (specialista in neurologia e caposervizio) e la psicologa __________ hanno concluso che “ La valutazione neuropsicologica odierna è indicativa di un deficit cognitivo polisettoriale caratterizzato da aprassia visuo-costruttiva, difficoltà sul piano mnesico verbale e visuo-spaziale, difficoltà di pianificazione e lieve negligenza egocentrica sinistra. Sul piano fronto-esecutivo si evidenzia ridotta flessibilità cognitiva, di programmazione, astrazione e ragionamento logico inferenziale e scarse competenze strategiche. Considerata la giovane età […] e alla luce di quanto emerso dalla valutazione odierna riteniamo utile una presa a carico riabilitativa di follow up allo stabilizzarsi della situazione clinica ” (doc.57, pag. 128 incarto AI). Nella lettera d’uscita dell’11 giugno 2021 allestita dal __________ viene menzionata l’alterazione comportamentale e, pur escludendo “ ideazioni suicidarie o tendenze eteroaggressive ”, il Caposervizio di neurochirurgia aveva indicato per il procedere – tra l’altro – “ una riabilitazione ambulatoriale per i deficit neuropsicologi […] alla Clinica __________ (doc. 57, pag. 118 e 119 incarto AI; cfr. anche la lettera d’uscita provvisoria del 4 giugno 2021 sub doc. 57). Dal rapporto del 30 settembre 2021 della Clinica __________ emerge che l’assicurato, sottoposto ad esame neuropsicologico con somministrazione di test standardizzati, soffriva di “ deficit attentivi con: rallentamento psico-motorio (tempi di reazione elevati, lentezza nel processamento di informazioni visive e verbali), difficoltà di attenzione divisa e fluttuazioni attentive con distraibilità e precoce affaticabilità dopo sforzo cognitivo ”, “ lievi difficoltà di memoria verbale e visuo-spaziale a lungo termine, verosimilmente secondarie al deficit attentivo ” e “ lievi difficoltà esecutive di controllo-inibizione ”. I medici avevano evidenziato la scarsa aderenza ai trattamenti e le numerose assenze (sedute di trattamento neuropsicologico) che avevano reso i trattamenti riabilitativi scarsamente efficaci, avvisando l’assicurato, che aveva deciso di interrompere prematuramente il percorso riabilitativo in Day Hospital, circa “ le difficoltà di carattere cognitivo residue potrebbero avere sul suo percorso formativo e sulle attività della vita quotidiana, soprattutto se complesse e richiestive dal punto di vista cognitivo ” e concludendo che “ Il quadro cognitivo alla dimissione è […] sovrapponibile a quanto osservato in sede di valutazione iniziale, con in particolare la presenza di deficit attentivo-mnestici che potrebbero avere delle ricadute sull’apprendimento di informazioni e conoscenze necessarie durante lo svolgimento della formazione in corso ”. Da notare che i medici della clinica non avevano accertato un’incapacità lavorativa (e quindi neppure la durata della stessa) poiché l’assicurato a quel tempo era studente in formazione (doc. 57, pag. 115 incarto AI). Nel rapporto del 26 gennaio 2024 del curante dr. __________ (doc. 33 incarto AI) emergeva che “ C’è da menzionare, per quanto riguarda le ripercussioni sulla capacità lavorativa, che da uno scritto della clinica __________, notavano un atteggiamento poco disforico con scarsa capacità di elaborazione di eventuali problematiche specifiche. Riferivano anche di un deficit attentivo lieve, visus spaziale, a lungo termine e lievi difficoltà esecutive di controllo-inibizione. C’è da dire che, quando ho visitato il paziente […] effettivamente mostrava dei deficit mnemonici, però nella documentazione a me fornita non c’è nessun rapporto specialistico da parte di uno psichiatra ”. Il curante soggiungeva che “ Per quanto riguarda le limitazioni funzionali attuali non ho avuto abbastanza tempo per inquadrare il paziente e non ho neanche una documentazione che mi possa permettere di descrivere con una certa precisione. C’è però da tener conto che il paziente soffre di crisi epilettiche e presenta dei deficit di memoria. ”. Dalle fatture l’Ufficio AI ha desunto che l’assicurato era stato valutato dal dr. __________ (specialista in psichiatria e psicoterapia) (doc. 60 incarto AI). Quest’ultimo ha attestato il 15 novembre 2024 di aver visitato l’assicurato in un’unica occasione (il 17 maggio 2023 dalle 16:30 alle 17:15), allegando la cartella clinica ove lo specialista aveva messo a protocollo che “ Non ha con sé la tessera di cassa malati, sembra avere difficoltà a ricordare il numero di telefono ”, “ ride senza motivo ”, “ Diagnosi di PTSD molto incerta: riferisce incubi su altri motivi, non pensieri intrusivi o evitamento. Si prevede un nuovo appuntamento dopo una settimana cui non si presenta e non da notizie ” e “ 14.06.2023 Dopo vari appuntamenti mancati anche oggi non si presenta ” (doc. 61, pag. 146 incarto AI). Nel rapporto del 10 dicembre 2024 del dr. __________, il curante attesta un’incapacità lavorativa completa dal 17 luglio al 19 agosto 2024 e dall’8 ottobre all’8 novembre 2024, indicando che “ Il paziente è affetto da crisi di epilessia post traumatica (trauma del 2021) con conseguenti disturbi psico-comportamentali e deficit mnesici e attentivi ”, che è “ in terapia psichiatrica dalla Dr.ssa __________ ” e che “ Attualmente, visto i deficit mnemonici d’attenzione e visti i molteplici episodi di attacchi epilettici non posso indicare un’attività adeguata alle limitazioni del paziente in questione ” (doc. 62, pagg. 151 e 152 incarto AI). Per accertare l’incapacità lavorativa dell’assicurato il SMR si è esplicitamente fondato su quanto descritto dal medico generico dr. __________ (cfr. supra consid. 1.3. in fine; doc. 63, pag. 156 e docc. 64 e 67 incarto AI). Tutta la summenzionata documentazione medico-assicurativa era stata acquisita agli atti dall’Ufficio AI prima dell’emanazione della contestata decisione del 10 marzo 2025. Con rapporto del 2 aprile 2025 (quindi successivo all’emanazione della contestata decisione ma precedente all’impugnativa) il dr. __________ (specialista in neurologia) aveva formulato – tra le altre – una diagnosi di “ Disturbo psico-comportamentale complesso/persistente post-traumatico con deficit attentivo-mnemonici ”, accertando un’incapacità lavorativa del 50% in ogni attività e comunicando un “ Tentativo di presa in carico psichiatrica/neuropsicologica (difficile). Identificata recent. la figura della Dr. __________ ” (doc. 74 incarto AI). Ora, valutata con attenzione tutta la documentazione presente agli atti prima dell’emanazione della decisione impugnata (quindi anche prescindendo dal rapporto del 2 aprile 2025 del dr. __________), questo Giudice deve concludere che essa era sufficiente per giustificare un approfondimento medico (almeno) sotto il profilo psichiatrico, non potendosi allo stadio attuale neppure escludere che la scarsa compliance (mancato invio di informazioni di carattere medico-amministrativo, continue assenze ingiustificate agli appuntamenti, alle visite mediche, reticenza nel rispondere a quesiti posti dall’Ufficio AI, mancate osservazioni al preavviso del 27 gennaio 2025, ecc.) possa essere conseguenza della patologia psichiatrica. In particolare, l’affermazione dell’Ufficio AI secondo cui dalla documentazione acquisita agli atti “ non si evinceva in alcun modo la presenza di una patologia psichiatrica, né risultava una presa a carico psichiatrica ” è in manifesta contraddizione con gli estratti delle refertazioni mediche riportati sopra. Inoltre, risulta irrilevante il fatto che l’avv. RA 1 “ già lo assisteva nella pratica con l’assicurazione __________ ”, il citato legale avendo acquisito il potere di rappresentanza per la presente vertenza il 28 marzo 2025 (doc. 71 incarto AI), ossia oltre due settimane dopo l’emanazione della decisione impugnata. Infine, neppure il riferimento alla STCA 32.2025.55 del 28 agosto 2025 soccorre l’amministrazione. In quell’evenienza questo Giudice aveva ritenuto giustificato prescindere sia dall’accollo delle spese di procedura che delle ripetibili poiché l’assicurato, in violazione al dovere di collaborazione, non aveva mai menzionato un’affezione psichiatrica, producendo solo con il gravame delle refertazioni attestanti un’affezione psichiatrica pregressa, causando quindi inutilmente la procedura giudiziaria. Nel caso che ci occupa, come poc’anzi accertato, i disturbi d’ordine psichiatrico, ancorché non codificati secondo lo standard di classificazione ICD, sono stati menzionati più volte dai medici nel corso degli anni ed andavano approfonditi. Inoltre, in casu le affermazioni del padre e della sorella dell’assicurato circa le conseguenze dell’incidente stradale sul vissuto quotidiano ed in particolare sullo stato cognitivo, di memoria (e quindi organizzativo) e psichiatrico (XIV, allegati A16 e A17) non permettono – allo stadio attuale – di concludere, contrariamente a quanto sostiene l’Ufficio AI, che l’(in)agire di RI 1 configura una violazione del dovere di collaborare.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fr. 2'000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