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32.2025.30 vom 4. Juni 2025</w:t>
      </w:r>
    </w:p>
    <w:p>
      <w:r>
        <w:t>TI Tribunale d'appello, 2025-06-04, IT</w:t>
      </w:r>
    </w:p>
    <w:p>
      <w:r>
        <w:rPr>
          <w:b/>
        </w:rPr>
        <w:t xml:space="preserve">Quelle: </w:t>
      </w:r>
      <w:r>
        <w:t>https://mcp.opencaselaw.ch/entscheid/ti_gerichte_32.2025.30</w:t>
      </w:r>
    </w:p>
    <w:p>
      <w:r>
        <w:t>FR: TI_GERICHTE 32.2025.30 du 4 juin 2025</w:t>
      </w:r>
    </w:p>
    <w:p>
      <w:r>
        <w:t>IT: TI_GERICHTE 32.2025.30 del 4 giugno 2025</w:t>
      </w:r>
    </w:p>
    <w:p>
      <w:pPr>
        <w:pStyle w:val="Heading2"/>
      </w:pPr>
      <w:r>
        <w:t>Regeste</w:t>
      </w:r>
    </w:p>
    <w:p>
      <w:r>
        <w:t>Assicurato con diritto a rendita limitata nel tempo. Conferma della perizia pluridisciplinare e dei redditi per la determinazione dei gradi d'invalidità con successiva soppressione del diritto alla rendita</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Secondo l’art. 28b LAI, l’importo della rendita è determinato quale percentuale di una rendita intera. Se il grado d’invalidità è compreso tra il 50 e il 69 per cento, la quota percentuale corrisponde al grado d’invalidità. Se il grado d’invalidità è uguale o superiore al 70 per cento, l’assicurato ha diritto a una rendita intera. Se il grado d’invalidità è inferiore al 50 per cento, si applicano quote percentuali variabili (tra il 47.5% e il 25%) a seconda del grado d’invalidità.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2.5. Trattandosi nel caso in esame di un'attribuzione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Plädoyer 1/06, pag. 64). 2.6.  Nella fattispecie concreta, come visto al consid. 1.2, l’Ufficio AI ha conferito mandato al __________ di allestire una perizia bisciplinare in ambito reumatologico e psichiatrico. Dal rapporto datato 20 giugno 2024 (doc. 120) risulta che i periti, oltre ad aver proceduto ad una valutazione internistica, hanno fatto capo a consultazioni specialistiche esterne di natura reumatologica (dr.ssa med. __________) e psichiatrica (dr. med__________). Dopo aver esposto la consueta anamnesi (familiare, personale-sociale, professionale, patologica e sistemica), i disturbi soggettivi e le affezioni attuali e dopo aver proceduto alla descrizione della giornata e continuato con le constatazioni obiettive, i periti, fondandosi su un'esauriente discussione, hanno posto le seguenti diagnosi: " (…) 4.3.1 Diagnosi rilevanti con ripercussioni sulla capacità lavorativa Disturbo dell'adattamento con ansia (ICD 10 F 43 22). Stato dopo frattura e lussazione del gomìto sin. (18.2 2019), stato dopo osteosintesi con vite (21 .2.2019) con sviluppo di pseudo artrosi ed algodistrofia, asportazione del capitello radiale gomito sin. (14.11.2019), intervento di impianto di protesi al capitello radiale sin. con osteotomia di raccorciamento dell'ulna e stabilizzazione con placca Medeco e riparazione artroscopia di fibro-cartilagine triangolare del polso sin per ulna plus secondaria (5.5.2020), intervento di asportazione placca Medeco a livello ulnare (5.8.2021), intervento di rimozione della protesi della testa radiale e plastica d'interposizione dell'anconeo con due fili trans-ossei nell'area del capitulum al gomito sin (18.5.2022). Deficit residuo rotatorio al polso sin. con sublussazione della testa dell’ulna in artrosi distale radio-ulnare sin. in stato dopo variante plus dell'ulna secondaria nell'ambito della diagnosi 1.” Sono state inoltre poste le seguenti diagnosi senza influsso sulla capacità lavorativa: " (…) 4.3.2   Diagnosi rilevanti senza ripercussioni sulla capacità lavorativa Disturbo d'ansia generalizzato (ICD-10 F41 1) Moderato. Aereofobia (ICD-10 F40.2) Tendinopatia della cuffia dei rotatori spalla sin. (MRI 18.3.2022), con rottura parziale del sopraspinato con lesione SLAP tipo ll il 18.2.2019. Modiche alterazioni degenerative del rachide lombare (MRI 15.11.2022). Esiti di frattura del processo uncinato e trapezio conservativamente.” In merito alle ripercussioni funzionali dovute alle surriferite affezioni, i periti del __________ hanno rilevato: " (…) Dal lato reumatologico l’A presenta le risorse fisiche seguenti: egli può spesso sollevare e portare pesi fino a 5 kg fino all'altezza dei fianchi, talvolta pesi tra 5-10 kg fino all'altezza dei fianchi, raramente pesi oltre 10 kg fino all'altezza dei fianchi, mai pesi oltre 20 kg fino all'altezza dei fianchi: l'A può spesso sollevare pesi fino a 5 kg sopra l’altezza del petto, raramente pesi oltrepassanti 5 kg sopra i ‘altezza del petto. L'A può spesso maneggiare attrezzi di precisione, spesso maneggiare attrezzi molto leggeri e leggeri, talvolta maneggiare attrezzi di media entità, mai maneggiare attrezzi pesanti. La rotazione manuale è ridotta a sin, la rotazione è possibile talvolta. L'A. può talvolta effettuare lavori al di sopra della testa, spesso effettuare la rotazione del tronco, può spesso assumere la posizione seduta ed inclinata in avanti, spesso la posizione in piedi ed inclinata in avanti, spesso assumere la posizione inginocchiata, spesso effettuare la flessione delle ginocchia, spesso assumere la posizione accovacciata. L'A. può assumere spesso la posizione seduta di lunga durata, spesso la posizione in piedi di lunga durata, può molto spesso camminare fino a 50 metri. spesso oltre 50 metri, spesso camminatre per lunghi tragitti, talvolta camminare su terreno accidentato, può spesso salire le scale, talvolta salire su scale a pioli. Dal lato psichiatrico l'A. non presenta delle limitazioni nell'attività abituale.” I periti hanno ritenuto che “ le incapacità lavorative in ambito reumatologico e psichiatrico non vanno sommate ma integrate completamente in quanto tutte considerano la necessità di maggiori pause al bisogno e maggiore lentezza nello svolgimento dei compiti “(punto no. 4.6 della perizia a pag. 74; pag. 458 del dossier AI). Globalmente essi hanno concluso per una totale inabilità lavorativa dal 18 febbraio 2019 nell’abituale attività lucrativa di autista di mezzi pesanti (pag. 75 della perizia; pag. 459 del dossier AI). Tuttavia – ciò che è rilevante per la presente vertenza – i periti, dopo aver dettagliatamente esposto la tipologia di attività ritenute ancora esigibili, hanno valutato un’abilità lavorativa del 100% a partire dal 18 novembre 2022 (pagg.459 – 461). La perizia bisciplinare è stata avallata e fatta propria da parte del SMR con rapporto 1° luglio 2024 (doc. 121). Con complemento 24 ottobre 2020 i periti del __________, esaminata la lettera 30 settembre 2024 del medico curante e la documentazione allegata, hanno osservato: “abbiamo esaminato la documentazione inoltrata e abbiamo appurato che la stessa è stata già analizzata e riportata nell’ambito della valutazione peritale del 20.6.2024, quindi essa non può apportare modifiche alle conclusioni peritali, le quali vengono confermate in toto” (pag. 606). Il succitato complemento peritale è stato approvato dal SMR con annotazioni del 5 novembre 2024 (pag. 607). Il ricorrente contesta la valutazione medico-teorica del __________, sostenendo un’inabilità del 50% in attività adeguate.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2.8.  Nella fattispecie in esame questo Giudice, chiamato a verificare se lo stato di salute dell’assicurato è stato accuratamente vagliato dal __________, non ha motivo per mettere in dubbio le valutazioni formulate nella perizia bidisciplinare del 20 giugno 2024 (doc. 120) – confermata dal complemento peritale del 24 ottobre 2024 (pag. 606) –, poiché la stessa va considerata dettagliata, approfondita e quindi rispecchiante i parametri giurisprudenziali ricordati al considerando precedente. In effetti, i periti hanno considerato tutta la documentazione medica agli atti e l’insorgente non ha prodotto documentazione specialistica atta a mettere in dubbio le conclusioni a cui essi sono giunti. È bene rilevare che la documentazione medica prodotta con le osservazioni del 30 settembre 2024 dal medico curante e riproposta con il presente ricorso è stata già riportata e valutata dal __________ (cfr. punto no. 2.1. della perizia). In particolare, nell’elenco atti il __________ ha riassunto come segue il rapporto 9 settembre 2023 del medico curante: " In sua cura da ottobre 2021 a tutt'oggi. Ultimo controllo 28.3.2023. Lo vede ogni 6-8 settimane. Incapacità totale dal 18.5.2022 al 31 .2.2023; 50% dall' 1 .8.2022 solo per lavori leggeri (autista per macchina privata, ecc.). È incapace al lavoro in attività pesanti. È stato seguito anche dalla Clinica __________ e dal Dr. med __________. Dice che l'A è in grado di lavorare al 50% come autista per macchine leggere, più del 50% non è fattibile per sovraccarico del gomito e della colonna lombare che provoca dolori. In cura con Pregabalin e Ibuprofene. Riporta gli interventi e riferisce che vi è una sindrome lombare con stato dopo infiltrazioni, un'artrosi radio-ulnare, ecc. (nota del perito SAM: testo olografo di cattiva lettura). Dice che può svolgere un’attività leggera al 50%.” (pag. 430) Ora, s e da un lato il dr. med. __________ sostiene come il suo paziente sia abile solo al 50% in lavori leggeri quale autista di macchina privata, dall’altro la perita reumatologa, procedendo dapprima ad una esaustiva valutazione (pagg. 455/6), ha compiutamente valutato la residua capacità lavorativa in attività adeguate descrivendo dettagliatamente le limitazioni e le funzioni ancora esigibili (cfr. consid. 2.5). Inoltre, il dr. med. __________ non ha posto nuove diagnosi rispetto a quelle indicate dai periti. Nemmeno nel successivo scritto 30 settembre 2024 (già noto e valutato dal SAM), prodotto col ricorso, il medico curante ha rilevato fatti non noti all’amministrazione, limitandosi a richiamare i suoi precedenti rapporti di settembre 2023 e di marzo 2022 (doc. A). Da ultimo, con scritto 14 aprile 2025 all’Ufficio AI il medico curante, ribadendo un’inabilità lavorativa del 50%, ha sostenuto un peggioramento della sintomatologia al polso ed al gomito sinistro, vale a dire una progressione dell’artrosi con sospetto di osteoncondroma secondario allegando due artroscopie al gomito ed al polso sinistri (VIII/2). A prescindere che entrambe le artroscopie sono successive alla decisione contestata [si rammenta che per costante giurisprudenza il giudice delle assicurazioni sociali, ai fini dell’esame della vertenza, si basa di regola sui fatti che si sono realizzati fino al momento della resa della decisione contestata (DTF 136 V 24 consid. 4.3; 130 V 445 consid. 1.2 con rinvii], correttamente nelle osservazioni 15 aprile 2025 l’Ufficio AI ha ritenuto tale documentazione non idonea a modificare la valutazione della capacità lavorativa definita in ambito peritale. Infatti, dai relativi referti non risultano nuove diagnosi e nuove limitazioni funzionali. Del resto, nel cennato scritto 14 aprile 2025 il medico curante ha fatto presente che il suo paziente sarà sottoposto ad una rivalutazione presso la __________ (dr. med. ____________) e che trasmetterà, una volta in suo possesso, tale rivalutazione, ciò che non è tuttavia avvenuto. Al riguardo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v iste le affidabili e concludenti risultanze della perizia bidisciplinare __________ del 20 giugno 2024, alla quale va conferito valore probatorio pieno (cfr. consid. 2.7), ritenuto che non è stato reso verosimile un peggioramento delle condizioni di salute,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è da ritenere dimostrato con il grado della verosimiglianza preponderante valido nell'ambito delle assicurazioni sociali (DTF 126 V 360; DTF 125 V 195 consid. 2 e i riferimenti ivi citati) che l’assicurato è abile al 100% in attività adeguate dal 18 novembre 2022. 2.9.  Occorre ora esaminare le conseguenze del danno alla salute dal profilo economico valide al 18 novembre 2022. 2.9.1 Per quanto concerne il reddito che l’assicurato avrebbe potuto conseguire senza il danno alla salute ( reddito da valido ),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 Per il cpv. 2 se il reddito lavorativo effettivamente conseguito è inferiore di almeno il 5 per cento al valore centrale usuale del settore secondo la RSS di cui all’art. 25 cpv. 3, il reddito senza invalidità corrisponde al 95 per cento di questo valore centrale. Secondo l’art. 26 cpv. 3 OAI, il cpv. 2 non è applicabile, se: a. anche il reddito con invalidità secondo l’art. 26bis cpv. 1 è inferiore di almeno il 5 per cento al valore centrale usuale del settore secondo la RSS di cui all’art. 25 cpv. 3; b. il reddito è stato conseguito con un’attività lucrativa indipendente. L’art. 26 cpv. 4 OAI prevede che se il reddito lavorativo effettivamente conseguito non può essere determinato o non può esserlo in misura sufficientemente precisa, il reddito senza invalidità è fissato sulla base dei valori statistici di cui all’art. 25 cpv. 3 OAI relativi alle persone con la medesima formazione e condizioni professionali analoghe. Nel caso concreto, l’Ufficio AI ha correttamente preso in considerazione un salario di fr. 58'650 che l’assicurato avrebbe potuto percepire senza il danno alla salute indicato dall’ex datore di lavoro nello scritto 6 agosto 2024 (doc. 126). Siccome tale reddito risulta inferiore di almeno il 5% del valore centrale delle statistiche di riferimento, in applicazione dell’art. 26 cpv. 2 OAI, il reddito senza invalidità è stato fissato a fr. 60'059,15 (cfr. tabella di calcolo a pag. 537). 2.9.2.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 Per l’art. 26bis cpv. 2 OAI se non vi è alcun reddito lavorativo computabile, il reddito con invalidità è determinato in base ai valori statistici di cui all’art. 25 cpv. 3. In deroga all’art. 25 cpv. 3, per gli assicurati di cui all’art. 26 cpv. 6 vanno impiegati valori indipendenti dal sesso. Secondo l’art. 26bis cpv. 3 OAI, nel tenore in vigore fino al 31 dicembre 2023, se a causa dell’invalidità l’assicurato può lavorare soltanto con una capacità funzionale secondo l’art. 49 cpv. 1bis pari o inferiore al 50 per cento, al valore determinato in base a valori statistici è applicata una deduzione del dieci per cento per attività lucrativa a tempo parziale. L’art. 26bis cpv. 3 OAI nel tenore in vigore dal 1° gennaio 2024 prevede che al valore determinato in base a valori statistici secondo il cpv. 2 è applicata una deduzione del 10 per cento. Se a causa dell’invalidità l’assicurato può lavorare soltanto con una capacità funzionale secondo l’art. 49 cpv. 1bis pari o inferiore al 50 per cento, è applicata una deduzione del 20 per cento. Non sono ammesse ulteriori deduzioni (in merito alla problematica riguardo tale capoverso cfr. STCA 32.2024.74 del 3 aprile 2025) Nella fattispecie concreta, con rapporto 28 agosto 2024 il Servizio d’integrazione professionale ha dapprima ritenuto che l’assicurato, in virtù dell’obbligo di ridurre il danno ai sensi dell’art. 7 LAI, possa accedere a tempo pieno ad attività semplici e ripetitive adeguate ai limiti funzionali nel settore industriale e commerciale elencando diversi profili professionali (doc. 127). In seguito, per la determinazione del reddito da invalido correttamente l’amministrazione si è fondata sui dati statistici nazionali, utilizzando la tabella TA1 dell’inchiesta sulla struttura dei salari, e meglio i dati salariali forniti dalla la RSS TA1-tirage skill level Svizzera, emanata dall'Ufficio federale di statistica riferita al settore privato svizzero (cfr., a quest'ultimo proposito, DTF 142 V 178, in particolare consid. 2.5.7; DTF 128 V 174; sulla rilevanza delle condizioni salariali nel settore privato, cfr. anche RAMI 2001 U 439, pagg. 347ss. e SVR 2002 UV 15, pagg. 47ss.). Ha pertanto preso in considerazione, in applicazione dei salari statistici applicabili (tabella 2022), un importo di fr. 66'265,75 pari al salario statistico conseguibile da personale maschile in un’attività semplice e ripetitiva, valore mediano nel settore privato svizzero. Infine, in applicazione dell’art. 26bis cpv.3 OAI, entrato in vigore al 1° gennaio 2024, l’amministrazione ha quantificato il reddito da valido in fr. 59'639,20 (cfr. tabella di calcolo a pag. 537). 2.9.3. Dal raffronto del reddito da valido con quello da invalido risulta un grado d’invalidità nullo, rispettivamente dell’1% con il reddito da invalido in vigore dal 1° gennaio 2024. Di conseguenza, non presentando l’assicurato un grado d’invalidità pensionabile, il diritto alla rendita è limitato al 28 febbraio 2023 (tre mesi dopo il miglioramento ai sensi dell’art. 88a cpv. 1 OAI). In queste circostanze, visto quanto sopra, le decisioni contestate sono corrette. Ne consegue che il ricorso va respinto.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