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32.2025.137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https://mcp.opencaselaw.ch/entscheid/ti_gerichte_32.2025.137</w:t>
      </w:r>
    </w:p>
    <w:p>
      <w:pPr>
        <w:pStyle w:val="Heading2"/>
      </w:pPr>
      <w:r>
        <w:t>Volltext</w:t>
      </w:r>
    </w:p>
    <w:p>
      <w:r>
        <w:t>Incarto n.32.2025.137</w:t>
      </w:r>
    </w:p>
    <w:p>
      <w:r>
        <w:t>MP/gm</w:t>
      </w:r>
    </w:p>
    <w:p>
      <w:r>
        <w:t>Lugano</w:t>
      </w:r>
    </w:p>
    <w:p>
      <w:r>
        <w:t>30 gennaio 2026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con redattore:</w:t>
      </w:r>
    </w:p>
    <w:p>
      <w:r>
        <w:t>Manuel Piazza, cancelliere</w:t>
      </w:r>
    </w:p>
    <w:p>
      <w:r>
        <w:t>segretario:</w:t>
      </w:r>
    </w:p>
    <w:p>
      <w:r>
        <w:t>Gianluca Menghetti</w:t>
      </w:r>
    </w:p>
    <w:p>
      <w:r>
        <w:t>statuendo sul ricorso del 19 dicembre 2025 di</w:t>
      </w:r>
    </w:p>
    <w:p>
      <w:r>
        <w:t>RI1,________</w:t>
      </w:r>
    </w:p>
    <w:p>
      <w:r>
        <w:t>contro</w:t>
      </w:r>
    </w:p>
    <w:p>
      <w:r>
        <w:t>la decisione del 24 novembre 2025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ritenutoin fatto e in diritto</w:t>
      </w:r>
    </w:p>
    <w:p>
      <w:r>
        <w:t>-  esperita listruttoria di rito e svolti alcuni provvedimenti professionali, con progetto di decisione del 7 maggio 2025 lUfficio AI ha prospettato allassicurato di accogliere la domanda e attribuirgli una rendita intera, avendo determinato un grado dinvalidità del 100% dal 1. febbraio 2022 e dell86% dal 1. aprile 2025 (doc. 52 incarto AI);</w:t>
      </w:r>
    </w:p>
    <w:p>
      <w:r>
        <w:t>-  con progetto di decisione del 14 ottobre 2025 lUfficio AI ha annullato il progetto di decisione precedente e prospettato allassicurato di respingere la domanda, avendo appurato che egli, allinsorgere dellinvalidità, non aveva pagato i contributi per almeno tre anni (doc. 55 incarto AI);</w:t>
      </w:r>
    </w:p>
    <w:p>
      <w:r>
        <w:t>-  con decisione del 24 novembre 2025 lUfficio AI ha confermato il suddetto progetto (doc. 58 incarto AI);</w:t>
      </w:r>
    </w:p>
    <w:p>
      <w:r>
        <w:t>-  contro questa decisione lassicurato è tempestivamente insorto, affermando di aver pagato contributi sociali da luglio 2018 a dicembre 2019 in Gran Bretagna e da gennaio 2020 in Svizzera, producendo la relativa documentazione a comprova e chiedendo di conseguenza il riconoscimento della rendita dinvalidità;</w:t>
      </w:r>
    </w:p>
    <w:p>
      <w:r>
        <w:t>-  con la risposta di causa lUfficio AI, esaminata la documentazione prodotta dal ricorrente, ha chiesto al TCA il rinvio degli atti perché appuri la carriera assicurativa allestero del ricorrente;</w:t>
      </w:r>
    </w:p>
    <w:p>
      <w:r>
        <w:t>-  con scritto del 21 gennaio 2026, il ricorrente ha aderito alla proposta dellUfficio AI;</w:t>
      </w:r>
    </w:p>
    <w:p>
      <w:r>
        <w:t>-  la presente vertenza non pone questioni giuridiche di principio e non è di rilevante importanza (ad esempio per la difficoltà dellistruttoria o della valutazione delle prove). Il TCA può dunque decidere nella composizione di un giudice unico ai sensi dell'art. 49 cpv. 2 LOG (STF 9C_699/2014 del 31 agosto 2015, 8C_855/2010 dell11 luglio 2011 e 9C_211/2010 del 18 febbraio 2011);</w:t>
      </w:r>
    </w:p>
    <w:p>
      <w:r>
        <w:t>-  decisivo per il diritto a una rendita ordinaria dell'assicurazione per l'invalidità è, conformemente all'art. 36 cpv. 1 LAI nel tenore in vigore dal 1. gennaio 2008, che all'insorgere dell'invalidità siano stati pagati i contributi per almeno tre anni interi (fino al 31 dicembre 2007: un anno).</w:t>
      </w:r>
    </w:p>
    <w:p>
      <w:r>
        <w:t>A tal fine è possibile prendere in considerazione anche i contributi versati ad un'assicurazione sociale assimilata di uno Stato membro dell'Unione europea (UE) o dell'Associazione europea di libero scambio (AELS), a condizione che almeno un anno di contributi sia registrato all'AVS/AI svizzera (FF 2005 pag. 4065; art. 48 cpv. 1 del Regolamento (CEE) n. 1408/71; cfr. anche marg. n. 3008 cifra 3 delle Direttive sulle rendite (DR) dellassicurazione federale per la vecchiaia, i superstiti e linvalidità edite dallUFAS, valide dal 1. gennaio 2024 (stato: 1. gennaio 2026)).</w:t>
      </w:r>
    </w:p>
    <w:p>
      <w:r>
        <w:t>La citata cifra marginale 3008 delle DR stabilisce quanto segue:</w:t>
      </w:r>
    </w:p>
    <w:p>
      <w:r>
        <w:t>In tema vedasi anche STF 9C_510/2020 del 2 novembre 2020 consid. 2.2; STCA 32.2022.55 del 10 ottobre 2022 consid. 2.7, 32.2021.119 del 14 marzo 2022 consid. 2.4 e 32.2019.97 del 27 aprile 2020 consid. 2.4; Gerber, Kommentar zum schweizerischen Sozialversicherungsrecht, 2022, n. 9 e 20-33 ad art. 36 LAI; Meyer/Reichmuth, op. cit., pagg. 470-472; Valterio, Commentaire  Loi fédérale sur lassurance-invalidité (LAI), 2018, n. 2-5 ad art. 36 LAI; Guida sulle condizioni assicurative per il diritto alle prestazioni dellassicurazione invalidità, p.ti 2.2.1 segg. e Quick-Check Condizioni assicurative per la concessione di prestazioni dellAI, editi dallUFAS (stato: 11 settembre 2025; consultabili su https://www.bsv.admin.ch/it/condizioni-assicurative-concessione-prestazioni-ai).</w:t>
      </w:r>
    </w:p>
    <w:p>
      <w:r>
        <w:t>La Circolare sulla procedura per la determinazione delle prestazioni AVS/AI/PC, valida dal 4 aprile 2016 (CIBIL; stato: 1. gennaio 2026), indica infine quanto segue:</w:t>
      </w:r>
    </w:p>
    <w:p>
      <w:r>
        <w:t>-in concretoil ricorrente è cittadino del Regno Unito (cfr. la copia del passaporto sub doc. 5 incarto AI) ed è assoggettato alla legislazione svizzera almeno dal 1. gennaio 2020 (cfr. doc. 2 della risposta di causa, pag. 2), per cui per ladempimento della durata minima di contribuzione di tre anni va tenuto conto anche dei periodi di contribuzione compiuti in uno Stato dellUE/AELS;</w:t>
      </w:r>
    </w:p>
    <w:p>
      <w:r>
        <w:t>-  al riguardo va detto che già neicurriculum vitaetrasmessi dal ricorrente allUfficio AI nel corso della procedura egli aveva segnalato delle esperienze lavorative allestero (cfr. docc. 5, 15 pag. 14, 20 pag. 14, 27 incarto AI);</w:t>
      </w:r>
    </w:p>
    <w:p>
      <w:r>
        <w:t>-  con il ricorso, poi, egli ha prodotto dei ricapitolativi e dei conteggi di stipendio relativi a delle attività lavorative nel Regno Unito tra luglio 2018 e dicembre 2019 (doc. 2 del ricorso);</w:t>
      </w:r>
    </w:p>
    <w:p>
      <w:r>
        <w:t>-  la tesi dellinsorgente, secondo cui in quel lasso di tempo avrebbe lì pagato i contributi sociali, parrebbe pertanto verosimile;</w:t>
      </w:r>
    </w:p>
    <w:p>
      <w:r>
        <w:t>-  sembrerebbe quindi adempiuto il requisito di cui allart. 36 cpv. 1 LAI, considerato anche il periodo contributivo in Svizzera di cui lUfficio AI aveva già tenuto conto;</w:t>
      </w:r>
    </w:p>
    <w:p>
      <w:r>
        <w:t>-  visto quanto sopra, valutata la documentazione allinserto, questo Giudice non ravvisa alcun motivo per non accogliere il gravame secondo la proposta formulata nella risposta di causa  e condivisa dal ricorrente  di annullare la decisione impugnata e rinviare gli atti allUfficio AI perché appuri la carriera assicurativa allestero del ricorrente;</w:t>
      </w:r>
    </w:p>
    <w:p>
      <w:r>
        <w:t>-  in esito alla nuova istruttoria dovrà essere emessa una nuova decisione soggetta a ricorso ai sensi degli artt. 56 segg. LPGA (preceduta dal relativo preavviso ex art. 57a LAI);</w:t>
      </w:r>
    </w:p>
    <w:p>
      <w:r>
        <w:t>-  giusta l'art. 69 cpv. 1bisLAI in vigore dal 1. gennaio 2021 la procedura di ricorso in caso di controversie relative all'assegnazione o al rifiuto di prestazioni AI dinanzi al Tribunale cantonale delle assicurazioni è soggetta a spese. L'entità delle spese è determinata fra 200 e 1'000 franchi in funzione delle spese di procedura e senza riguardo al valore litigioso (DTF 133 V 402; STF 9C_156/2009 del 7 aprile 2009 e 8C_393/2008 del 24 settembre 2008);</w:t>
      </w:r>
    </w:p>
    <w:p>
      <w:r>
        <w:t>-  visto lesito favorevole del ricorso (il rinvio con esito aperto equivale a piena vittoria, cfr. STF 8C_307/2021 del 25 agosto 2021 consid. 6; DTF 141 V 281 consid. 11.1 e 137 V 210 consid. 7.1 con riferimenti), le spese di fr. 500 vanno poste a carico dellUfficio AI.</w:t>
      </w:r>
    </w:p>
    <w:p>
      <w:r>
        <w:t>Per questi motivi</w:t>
      </w:r>
    </w:p>
    <w:p>
      <w:r>
        <w:t>dichiara e pronuncia</w:t>
      </w:r>
    </w:p>
    <w:p>
      <w:r>
        <w:t>§   La decisione del 24 novembre 2025 è annullata.</w:t>
      </w:r>
    </w:p>
    <w:p>
      <w:r>
        <w:t>§§ Gli atti sono rinviati allUfficio AI perché proceda conformemente ai considerandi.</w:t>
      </w:r>
    </w:p>
    <w:p>
      <w:r>
        <w:t>Per il Tribunale cantonale delle assicurazioni</w:t>
      </w:r>
    </w:p>
    <w:p>
      <w:r>
        <w:t>Il vicepresidente                                           Il segretario di Camera</w:t>
      </w:r>
    </w:p>
    <w:p>
      <w:r>
        <w:t>giudice Raffaele Guffi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