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32.2024.91 vom 22. Oktober 2024</w:t>
      </w:r>
    </w:p>
    <w:p>
      <w:r>
        <w:t>TI Tribunale d'appello, 2024-10-22, IT</w:t>
      </w:r>
    </w:p>
    <w:p>
      <w:r>
        <w:rPr>
          <w:b/>
        </w:rPr>
        <w:t xml:space="preserve">Quelle: </w:t>
      </w:r>
      <w:r>
        <w:t>https://mcp.opencaselaw.ch/entscheid/ti_gerichte_32.2024.91</w:t>
      </w:r>
    </w:p>
    <w:p>
      <w:r>
        <w:t>FR: TI_GERICHTE 32.2024.91 du 22 octobre 2024</w:t>
      </w:r>
    </w:p>
    <w:p>
      <w:r>
        <w:t>IT: TI_GERICHTE 32.2024.91 del 22 ottobre 2024</w:t>
      </w:r>
    </w:p>
    <w:p>
      <w:pPr>
        <w:pStyle w:val="Heading2"/>
      </w:pPr>
      <w:r>
        <w:t>Volltext</w:t>
      </w:r>
    </w:p>
    <w:p>
      <w:r>
        <w:t>Incarto n.32.2024.91</w:t>
      </w:r>
    </w:p>
    <w:p>
      <w:r>
        <w:t>BS</w:t>
      </w:r>
    </w:p>
    <w:p>
      <w:r>
        <w:t>Lugano</w:t>
      </w:r>
    </w:p>
    <w:p>
      <w:r>
        <w:t>6 febbraio 2025</w:t>
      </w:r>
    </w:p>
    <w:p>
      <w:r>
        <w:t>In nomedella Repubblica e CantoneTicino</w:t>
      </w:r>
    </w:p>
    <w:p>
      <w:r>
        <w:t>Il vicepresidente</w:t>
      </w:r>
    </w:p>
    <w:p>
      <w:r>
        <w:t>del Tribunale cantonale delle assicurazioni</w:t>
      </w:r>
    </w:p>
    <w:p>
      <w:r>
        <w:t>Giudice Raffaele Guffi</w:t>
      </w:r>
    </w:p>
    <w:p>
      <w:r>
        <w:t>con redattore:</w:t>
      </w:r>
    </w:p>
    <w:p>
      <w:r>
        <w:t>Marco Bischof, cancelliere</w:t>
      </w:r>
    </w:p>
    <w:p>
      <w:r>
        <w:t>segretario:</w:t>
      </w:r>
    </w:p>
    <w:p>
      <w:r>
        <w:t>Gianluca Menghetti</w:t>
      </w:r>
    </w:p>
    <w:p>
      <w:r>
        <w:t>statuendo sul ricorso del 20 novembre 2024 di</w:t>
      </w:r>
    </w:p>
    <w:p>
      <w:r>
        <w:t>RI 1</w:t>
      </w:r>
    </w:p>
    <w:p>
      <w:r>
        <w:t>contro</w:t>
      </w:r>
    </w:p>
    <w:p>
      <w:r>
        <w:t>la decisione del 22 ottobre 2024 emanata da</w:t>
      </w:r>
    </w:p>
    <w:p>
      <w:r>
        <w:t>Ufficio assicurazione invalidità, 6501 Bellinzona</w:t>
      </w:r>
    </w:p>
    <w:p>
      <w:r>
        <w:t>in materia di assicurazione federale per l'invalidità</w:t>
      </w:r>
    </w:p>
    <w:p>
      <w:r>
        <w:t>consideratoin fatto e in diritto</w:t>
      </w:r>
    </w:p>
    <w:p>
      <w:r>
        <w:t>che                         -  con una prima decisione 22 ottobre 2024, debitamente preavvisata, lUfficio AI ha posto RI 1 al beneficio di una rendita intera dal 1° settembre 2023 al 30 novembre 2023. Trattandosi di una domanda tardiva ai sensi dellart. 29 cpv. 1 LAI, la prestazione è stata versata unicamente per il mese di novembre 2023.</w:t>
      </w:r>
    </w:p>
    <w:p>
      <w:r>
        <w:t>Con una seconda decisione dello stesso giorno lamministrazione ha erogato, sempre per il mese di novembre 2023, tre rendite completive per figli per totali fr. 1'339, con versamento delle rendite alla ex moglie dellassicurato in quanto i figli risultano risiedere presso il domicilio della madre;</w:t>
      </w:r>
    </w:p>
    <w:p>
      <w:r>
        <w:t>-  contro la seconda decisione lassicurato ha interposto ricorso al TCA. Facendo riferimento allo scritto 8 ottobre 2024 inviato allamministrazione, di cui si dirà nel prosieguo, postula il versamento (integrale o parziale) a lui medesimo, delle rendite per figli avendo corrisposto alla ex moglie il 50% dei contributi di mantenimento degli stessi, così come stabilito con sentenza di divorzio;</w:t>
      </w:r>
    </w:p>
    <w:p>
      <w:r>
        <w:t>-  con scritto 10 dicembre 2024 la Cassa __________ (in seguito: Cassa), che collabora allaccertamento dei presupposti assicurativi e versa le rendite (art. 60 cpv. 1 lett. a, c LAI)  sulla base della lettera 9 dicembre 2024 (con la quale ha informato lassicurato di versargli limporto di fr. 650 corrispondente alla somma da lui effettivamente elargita, quale obbligo di mantenimento a favore dei figli, per il mese di novembre 2023)  ha postulato lo stralcio del ricorso poiché tale scritto accoglie integralmente le richieste ricorsuali;</w:t>
      </w:r>
    </w:p>
    <w:p>
      <w:r>
        <w:t>-  chiamato dal TCA a prendere posizione in merito al suindicato scritto, con lettera 22 dicembre 2024 il ricorrente ha chiesto di spiegare, con lindicazione degli articoli di legge, a chi spetta la rendita per figli (VI);</w:t>
      </w:r>
    </w:p>
    <w:p>
      <w:r>
        <w:t>-  con scritto 7 gennaio 2025 il TCA ha chiesto allUfficio AI dindicare gli articoli di legge e le motivazioni alla base della succitata lettera 9 dicembre 2024. Inoltre è stato chiesto se è stata emessa una decisione, a modifica di quella contestata, ai sensi di quanto indicato allassicurato (VII);</w:t>
      </w:r>
    </w:p>
    <w:p>
      <w:r>
        <w:t>-  con lettera 13 gennaio 2025 lUfficio AI ha dato seguito alla richiesta del Tribunale, informando fra laltro di non avere emesso una decisione di rettifica (VIII);</w:t>
      </w:r>
    </w:p>
    <w:p>
      <w:r>
        <w:t>-  con scritto 24 gennaio 2024, prendendo posizione in merito alla lettera 13 gennaio 2025 della convenuta, il ricorrente ha ribadito la legittimità di richiedere il diretto versamento di fr. 650, parte delle rendite completive (XI);</w:t>
      </w:r>
    </w:p>
    <w:p>
      <w:r>
        <w:t>-  secondo l'art. 6 cpv. 1 Lptca l'autorità amministrativa può, fino all'invio della sua risposta, riesaminare la decisione impugnata. Essa notifica immediatamente una nuova decisione alle parti e la comunica al Tribunale (art. 6 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chelassicuratore può riconsiderare una decisione o una decisione su opposizione, contro le quali è stato inoltrato ricorso, fino allinvio del suo preavviso allautorità di ricorso.</w:t>
      </w:r>
    </w:p>
    <w:p>
      <w:r>
        <w:t>Va poi ricordato che, secondo la giurisprudenza, una decisione pendente lite mette fine alla vertenza solo nella misura in cui corrisponde pienamente alle richieste del ricorrente. Il litigio sussiste nella misura in cui la nuova decisione non regola tutte le questioni nei sensi voluti dall'insorgente; in tal caso lautorità di ricorso deve entrare nel merito di quanto è rimasto indeciso, senza che l'insorgente debba impugnare il nuovo atto amministrativo (RCC 1992 pag. 123 consid.5c; DTF 127 V 233 consid. 2.b/bb, 113 V 237; Kieser, ATSG Kommentar, 2020, art. 53 n. 90 pag. 988).L'amministrazione non può invece rivedere la decisione impugnata dopo aver presentato la risposta di causa ai giudici di prima istanza. Una decisione resa dopo questo termine assume il carattere di una proposta indirizzata al giudice, affinché egli decida nei sensi della nuova decisione (Pratique VSI 1994 p. 281; RCC 1992 p. 123 consid. 5, 1989 p. 320 consid.2a, RCC 1984 p. 283; DTF 109 V 236; cfr. anche Kieser, op. cit., art. 53 n. 92 pag. 988);</w:t>
      </w:r>
    </w:p>
    <w:p>
      <w:r>
        <w:t>-  nella fattispecie, come detto sopra, lamministrazione non ha emesso alcuna decisione di rettifica della pronunzia qui impuganta, motivo per cui il ricorso non può essere stralciato e pertanto si entra nel merito dello stesso;</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w:t>
      </w:r>
    </w:p>
    <w:p>
      <w:r>
        <w:t>-  oggetto del contendere è sapere se le rendite per figli per il mese di novembre 2023 vanno versate, integralmente o parzialmente, allex moglie dellassicurato oppure a questultimo;</w:t>
      </w:r>
    </w:p>
    <w:p>
      <w:r>
        <w:t>-  giusta lart. 35 cpv. 1 LAI le persone legittimate alla rendita d'invalidità hanno diritto a una rendita completiva per ogni figlio che, qualora esse fossero morte, avrebbe diritto a una rendita per orfani dell'assicurazione per la vecchiaia e i superstiti (cfr. art. 25 LAVS). A norma dellart. 35 cpv. 4 LAI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w:t>
      </w:r>
    </w:p>
    <w:p>
      <w:r>
        <w:t>-  lart. 82 cpv. 1 OAI dispone che gli artt. 71, 71ter, 72, 73 e 75 OAVS si applicano per analogia al pagamento delle rendite e degli assegni per grandi invalidi per gli assicurati maggiorenni.</w:t>
      </w:r>
    </w:p>
    <w:p>
      <w:r>
        <w:t>L'art. 71ter OAVS, specifico per il versamento della rendita per figli, prevede quanto segue (sottolineatura del redattore):</w:t>
      </w:r>
    </w:p>
    <w:p>
      <w:r>
        <w:t>-giusta l'art. 69 cpv. 1bisLAI in vigore dal 1° gennaio 2021 ed applicabile in concreto (cfr. la disposizione transitoria dellart. 82a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Come la giurisprudenza federale ha avuto modo di precisare, le spesedevonoessere prelevate anche in caso di dispendio minimo (STF 9C_792/2011 del 21 febbraio 2012; STF 8C_163/2012 del 12 aprile 2012);</w:t>
      </w:r>
    </w:p>
    <w:p>
      <w:r>
        <w:t>-  visto lesito della vertenza, le spese per complessivi fr. 200 sono poste a carico dellUfficio AI.</w:t>
      </w:r>
    </w:p>
    <w:p>
      <w:r>
        <w:t>Per questi motivi</w:t>
      </w:r>
    </w:p>
    <w:p>
      <w:r>
        <w:t>dichiara e pronuncia</w:t>
      </w:r>
    </w:p>
    <w:p>
      <w:r>
        <w:t>§ La decisione 22 ottobre 2024 è modificata nel senso che allex moglie dellassicurato spettano fr. 689 di rendite per figli per il mese di novembre 2023.</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