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32.2024.83 vom 25. September 2024</w:t>
      </w:r>
    </w:p>
    <w:p>
      <w:r>
        <w:t>TI Tribunale d'appello, 2024-09-25, IT</w:t>
      </w:r>
    </w:p>
    <w:p>
      <w:r>
        <w:rPr>
          <w:b/>
        </w:rPr>
        <w:t xml:space="preserve">Quelle: </w:t>
      </w:r>
      <w:r>
        <w:t>https://mcp.opencaselaw.ch/entscheid/ti_gerichte_32.2024.83</w:t>
      </w:r>
    </w:p>
    <w:p>
      <w:r>
        <w:t>FR: TI_GERICHTE 32.2024.83 du 25 septembre 2024</w:t>
      </w:r>
    </w:p>
    <w:p>
      <w:r>
        <w:t>IT: TI_GERICHTE 32.2024.83 del 25 settembre 2024</w:t>
      </w:r>
    </w:p>
    <w:p>
      <w:pPr>
        <w:pStyle w:val="Heading2"/>
      </w:pPr>
      <w:r>
        <w:t>Regeste</w:t>
      </w:r>
    </w:p>
    <w:p>
      <w:r>
        <w:t>Ricorso (respinto) contro decisione di rifiuto di rendita. La documentazione prodotta con il gravame dal curante generalista non permette di scostarsi dalle conclusioni del medico SMR, che vanno confermate</w:t>
      </w:r>
    </w:p>
    <w:p>
      <w:pPr>
        <w:pStyle w:val="Heading2"/>
      </w:pPr>
      <w:r>
        <w:t>Erwägungen</w:t>
      </w:r>
    </w:p>
    <w:p>
      <w:r>
        <w:rPr>
          <w:b/>
        </w:rPr>
        <w:t>E. 2</w:t>
      </w:r>
    </w:p>
    <w:p>
      <w:r>
        <w:t>LOG (STF 9C_699/2014 del 31 agosto 2015; 8C_855/2010 dell’11 luglio 2011; 9C_211/2010 del 18 febbraio 2011). nel merito 2.2.  Oggetto del contendere è sapere se a ragione o meno l’Ufficio AI ha negato all’assicurato il diritto alla rendita dopo aver determinato un grado d’invalidità non pensionabile.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2024) prevede che “ Se la decisione sulla prima concessione di una rendita è emanata dopo il 1° gennaio 2022, ma il diritto alla rendita è nato prima di questa data, sono applicabili le disposizioni della LAI e dell’OAI nel tenore in vigore fino al 31 dicembre 2021 ”. La cifra 1007 e seg. della Circolare concernente le disposizioni transitorie della riforma Ulteriore sviluppo dell’AI sul sistema di rendite lineare (C DT US AI) (valida dal 1. gennaio 2022 e stato alla medesima data)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In concreto RI 1 non è mai stato al beneficio di una rendita ed ha indicato un’incapacità lavorativa completa da marzo 2022 (cfr. supra consid. 1.1.). L’asserita invalidità sarebbe quindi insorta dopo la modifica di legge di cui sopra, a prescindere dal fatto che si tratti di una domanda tardiva (art. 29 cpv. 1 LAI) o meno (art. 28 cpv. 1 lett. b LAI). Visto quanto precede, in casu torna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2.5.  La giurisprudenza federale (STF 9C_13/2007 del 31 marzo 2008) ha stabilito che per la graduazione dell’invalidità l’amministrazione (o il giudice in caso di ricorso) deve disporre di refertazioni allestite da medici o da altri specialisti indicanti lo stato di salute e la capacità lavorativa in attività abituale ed adeguata ( DTF 125 V 256 consid. 4., pag. 261; 115 V 133 consid. 2., pag. 134; 114 V 310 consid. 3c, pag. 314; 105 V 156 consid. 1 pag. 158). Il consulente in integrazione professionale, fondandosi su tali indicazioni, determina quali lavori sono concretamente ipotizzabili sul mercato del lavoro equilibrato (DTF 148 V 174 consid. 9.1. e147 V 124 consid. 6.2.). La valenza probante di un rapporto medico non dipende dall’origine del mezzo di prova o dalla sua denominazione, ma piuttosto dal suo contenuto che deve riflettere uno studio approfondito dei punti litigiosi considerando le censure del paziente, essere esaustivo e chiaro in punto all’anamnesi, agli esami condotti e alle conclusioni. Queste ultime devono essere ben motivate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Il medico SMR dispone di specifiche conoscenze medico-assicurative ed è a disposizione degli uffici AI per valutare le condizioni mediche e la capacità funzionale dell’assicurato, conformemente agli artt. 59 cpv. 2bis LAI e 49 OAI. In tal modo si è creata una separazione di competenze tra medici curanti e assicurazione sociale. Sulla base delle indicazioni del SMR, l’Ufficio AI decide cosa si può ragionevolmente pretendere da un assicurato e cosa invece no (STF 9C_9/ 2010 del 29 settembre 2010, 9C_323/2009 del 14 luglio 2009 consid. 4.2, in SVR 2009 IV n. 56 pag. 174, con riferimenti). In caso di rapporti medici contraddittori, il giudice deve analizzare l'intero materiale e spiegare la preferenza per un rapporto su un altro (STF 8C_535/2007 del 25 aprile 2008). In caso di dubbio, anche minimo, sull’affidabilità e sulla concludenza dei pareri medici interni dell’assicurazione, non è possibile fondarsi su di essi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In concreto, ricevuta la domanda di prestazioni, al fine di accertare lo stato valetudinario dell’assicurato l’Ufficio AI ha acquisito agli atti, tra l’altro, il rapporto peritale del 28 settembre 2022 del medico fiduciario dr. __________ (specialista in reumatologia) (doc. 88 incarto AI), il certificato del 25 marzo 2022 della precedente curante (doc. 84 incarto AI) ed il rapporto del dr. __________ del 2 novembre 2023 con relativo complemento del 26 febbraio 2024 (docc. 35 e 53 incarto AI). Fondandosi su tali referti, il medico SMR ha allestito il rapporto del 22 marzo 2024 (cfr. supra consid. 1.2.). Il ricorrente, prevalendosi del rapporto del 20 ottobre 2024 del curante, contesta la valutazione medica posta alla base della decisione impugnata (cfr. supra consid. 1.5.). Questo Giudice, chiamato a verificare se lo stato di salute del ricorrente sia stato accuratamente vagliato (prima dell’emanazione della decisione impugnata) dall’amministrazione, dopo attenta analisi della documentazione medica agli atti, non ravvisa motivi per metterne in dubbio le conclusioni. 2.7.  Giova preliminarmente ricordare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Va altresì rilevato che il potere cognitivo del giudice delle assicurazioni sociali chiamato a valutare la legalità della decisione deferitagli è limitato temporalmente alla fattispecie rilevante al momento dell’emanazione di tale decisione (pro multis DTF 136 V 24 consid. 4.3., 130 V 445 consid. 1.2. con rinvii), in concreto il 25 settembre 2024, e che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Tornando al caso in esame, il ricorrente si prevale del rapporto del curante dr. __________ del 20 ottobre 2024 (I 1 e III) dal seguente tenore: " […] Con il presente chiedo […] di rivedere la vostra decisione in ambito di AI appena emessa per il mio summenzionato paziente, da considerarsi quindi come Ricorso alla stessa. Ciò in base ai nuovi rilievi diagnostici che hanno posto in essere e confermato un restringimento foraminale L5-S1 a sinistra alla RMN eseguita il 17.08.2024 che non ha mostrato alcuna variazione in senso favorevole rispetto al controllo del 12.2023 nonostante le terapie messe in atto successivamente (Terapia del Dolore, valutazioni neurochirurgiche Dr.ssa __________). Quindi è stata proposta una ulteriore infiltrazione ma questa volta intra-discale L5-S1 con ozono allo scopo di effetto antinfiammatorio, analgesico e di ridurre il volume del disco intervertebrale sperando così di alleviare la compressione dell’ernia su L5. Dopodiché in caso di mancato risultato favorevole si dovrà per forza procedere ad intervento neurochirurgico. Da qui la richiesta di impugnare la Vostra decisione fino almeno alla procedura che verrà messa in atto in queste settimane.” Di tutta evidenza, lo scarno rapporto del curante non è idoneo a mettere in dubbio il rapporto SMR del 22 marzo 2024, il dr. __________ non essendosi neppure confrontato con esso, in particolare in punto alla capacità lavorativa. A questo proposito, questo Giudice può far propria la presa di posizione del medico SMR del 25 ottobre 2024 (cfr. supra consid. 1.6.): " […] La […] nuova documentazione consiste in un rapporto medico del Dr. med. __________ […] del 20.10.2024, nel quale vengono riferiti reperti di diagnostica strumentale per immagini e proposte terapeutiche. Pur rimanendo il SMR a disposizione per una rivalutazione del caso al ricevimento di nuova relazione medica in cui sia meglio e più chiaramente specificata eventuale nuova diagnosi determinante nuovi limiti funzionali con ripercussione sulla capacità lavorativa in attività abituale ed adeguata e/o altra documentazione medica specialistica a corredo, nel frattempo il SMR ritiene di poter confermare la valutazione di cui al RAF del 22.03.2024 effettuata sulla scorta della valutazione del Dr. med __________ del 01.03.2024 .” Inoltre, ad oggi non è pervenuta alcuna ulteriore refertazione medica che permetta una diversa valutazione della situazione valetudinaria rispetto a quella accertata al momento rilevante, ossia al 25 settembre 2024, data della decisione contestata e che delimita il potere cognitivo di questo Giudice. Va peraltro sottolineato che, di principio, in caso di lite non ci si può fondare sulla posizione del medico curante, ancorché specialista (cfr. supra consid. 2.5.), considerato peraltro che in casu il parere discordante è stato espresso da un medico generalista (cfr. supra consid. 1.2.). 2.8.  Il ricorrente non contesta la valutazione economica operata dall’Ufficio AI e questo Giudice non ha motivo per discostarsene. 2.9.  Visto tutto quanto precede, la decisione impugnata merita conferma, mentre il ricorso va integralmente respinto.</w:t>
      </w:r>
    </w:p>
    <w:p>
      <w:r>
        <w:rPr>
          <w:b/>
        </w:rPr>
        <w:t>E. 2.10</w:t>
      </w:r>
    </w:p>
    <w:p>
      <w:r>
        <w:t>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