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32.2024.73 vom 6. September 2024</w:t>
      </w:r>
    </w:p>
    <w:p>
      <w:r>
        <w:t>TI Tribunale d'appello, 2024-09-06, IT</w:t>
      </w:r>
    </w:p>
    <w:p>
      <w:r>
        <w:rPr>
          <w:b/>
        </w:rPr>
        <w:t xml:space="preserve">Quelle: </w:t>
      </w:r>
      <w:r>
        <w:t>https://mcp.opencaselaw.ch/entscheid/ti_gerichte_32.2024.73</w:t>
      </w:r>
    </w:p>
    <w:p>
      <w:r>
        <w:t>FR: TI_GERICHTE 32.2024.73 du 6 septembre 2024</w:t>
      </w:r>
    </w:p>
    <w:p>
      <w:r>
        <w:t>IT: TI_GERICHTE 32.2024.73 del 6 settembre 2024</w:t>
      </w:r>
    </w:p>
    <w:p>
      <w:pPr>
        <w:pStyle w:val="Heading2"/>
      </w:pPr>
      <w:r>
        <w:t>Erwägungen</w:t>
      </w:r>
    </w:p>
    <w:p>
      <w:r>
        <w:rPr>
          <w:b/>
        </w:rPr>
        <w:t>E. 31</w:t>
      </w:r>
    </w:p>
    <w:p>
      <w:r>
        <w:t>dicembre 2021 ". La Circolare concernente le disposizioni transitorie della riforma Ulteriore sviluppo dell'AI sul sistema di rendite lineare (C DT US AI), valida dal 1. gennaio 2022, stato al 1. luglio 2024, prevede in particolare ai marginali 1007, 1008 e 1009 che: " C onformemente alle DT LAI [Disposizioni transitorie, n.d.r.], le rendite AI rette dal diritto anteriore sono le rendite il cui diritto secondo l'articolo 29 capoversi 1 e 2 LAI è nato al più tardi il 31 dicembre 2021. Poiché il momento dell'insorgenza dell'invalidità (art. 28 cpv. 1 e 1 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[diritto, n.d.r.]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siano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l’Ufficio AI ha respinto la domanda di prestazioni presentando il ricorrente dal 16 giugno 2024 (il giorno dopo la conclusione della riformazione professionale) un grado d’invalidità del 14.5%. Ne consegue che un’eventuale diritto alla rendita sorgerebbe dopo il 1. gennaio 2022, motivo per cui, sulla scorta di quanto sopra, in specie è applicabile il nuovo diritto. 2.7. 2.7.1.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 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2.7.2.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2022, art. 28a, n. 207).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2.8.  Il ricorrente non ha contestato le conclusioni a cui l’amministrazione è pervenuta riguardo al suo stato di salute e, valutata la documentazione medica agli atti, questo Giudice non ha motivo di metterle in dubbio. Va infatti condivisa l'analisi effettuata dal dr. med. __________ (specialista in chirurgia ortopedica e traumatologia dell’apparato locomotore) nel suo apprezzamento medico, in cui lo specialista si è chinato sullo stato di salute del ricorrente, giungendo alla conclusione che l’attività di quest’ultimo non è più esigibile, mentre che: " Per attività adatte sul mercato generale del lavoro sussiste un’abilità completa. Sollevamento di pesi oltre 10 kg, attività ripetitive con la mano, soprattutto attività che necessitano una chiusura del pugno, la presa di pinza o attività in cui l’assicurato deve aggrapparsi sono escluse da questo profilo. La mano sinistra è quindi utilizzabile solo per attività leggere” (cfr. doc. 329 incarto LAINF, pag. 1). 2.9. 2.9.1.  Riguardo alle conseguenze economiche del danno alla salute del ricorrente, va innanzitutto rilevato che il reddito ipotetico conseguibile dalla persona assicurata senza il danno alla salute, altrimenti detto reddito da valido , come ricordato nella recente STF 9C_445/2022 del 27 settembre 2023 al considerando 4.2.1, non è il guadagno realizzato nell'ultima attività svolta, ma il reddito che la persona assicurata conseguirebbe, secondo il grado della verosimiglianza preponderante, se non fosse diventata invalida. Di regola, ci si fonda sull'ultimo reddito che la persona assicurata ha conseguito prima del danno alla salute, adeguandolo all'evoluzione reale dei salari. Questo perché normalmente, in base all'esperienza comune, la persona interessata avrebbe continuato la precedente attività in assenza del danno alla salute (DTF 129 V 222 consid. 4.3.1). Eccezioni a questo principio devono essere previste secondo la verosimiglianza preponderante (DTF 144 I 103 consid. 5.3; DTF 134 V 322 consid. 4.1). Per determinare il reddito ipotetico conseguibile dalla persona assicurata senza il danno alla salute, dunque, occorre stabilire quanto la stessa, nel momento determinante (corrispondente all'inizio dell'eventuale diritto alla rendita), guadagnerebbe secondo il grado di verosimiglianza preponderante come persona sana, tenuto conto delle sue capacità professionali e delle circostanze personali. Tale reddito dev'essere determinato nel modo più concreto possibile (STF 8C_234/2022 del 27 gennaio 2023, consid. 6.1). In tale contesto la normale evoluzione professionale va senz'altro considerata. Tuttavia, gli indizi che l'assicurato avrebbe intrapreso una carriera e percepito un salario più elevato devono essere reali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Se la perdita del lavoro è dovuta a motivi non legati all'invalidità, il valore del salario da valido va determinato sulla base dei valori statistici (STF 8C_561/2022 del 4 agosto 2023, consid. 5.3.1). Come ricordato nella STF 9C_104/2022 del 7 settembre 2022 al considerando 4,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9C_151/2020 del 5 maggio 2020, consid. 6.1), come nel recente caso ticinese giudicato dall'Alta Corte (STF 9C_445/2022 del 27 settembre 2023). 2.9.2.  Riguardo al reddito da invalido , l'obbligo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La capacità di una persona assicurata di sfruttare la propria capacità residua sul mercato del lavoro generale equilibrato dipende dalle circostanze concrete del singolo caso. Secondo la giurisprudenza, sono fattori decisivi il tipo e la natura del danno alla salute e le sue conseguenze, lo sforzo prevedibile di adattamento e di riconversione e, in questo contesto, anche la struttura della personalità, le attitudini e le capacità esistenti, la formazione, la carriera professionale o l'applicabilità di esperienza professionale proveniente dal settore tradizionale (STF 8C_452/2023 del 19 dicembre 2023, consid. 2.4.1; STF 8C_346/2023 del 21 dicembre 2023, consid. 2.3; STF 9C_42/ 2023 dell'11 maggio 2023, consid. 3.2).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Il mercato del lavoro equilibrato è una misura teorica, per cui non si può facilmente presumere che la capacità residua sia inutilizzabile (STF 8C_346/2023 del 21 dicembre 2023, consid. 2.3; STF 9C_42/2023 dell'11 maggio 2023, consid. 3.2). Il mercato del lavoro equilibrato include anche i cosiddetti posti di lavoro di nicchia, cioè offerte di posti e di lavori in cui le persone con disabilità possono aspettarsi un venire incontro di stampo sociale (" sozial Entgegenkommen " = "accondiscendenza sociale") da parte del datore di lavoro (STF 9C_42/2023 dell'11 maggio 2023, consid. 3.2; SVR 2018 IV Nr. 60; SVR 2016 IV Nr. 3). Secondo questi criteri si dovrà, di caso in caso, stabilire se l'invalido possa mettere a profitto le sue residue capacità di guadagno e conseguire un reddito tale da escludere il diritto a una rendita. In particolare, l'esistenza di una simile opportunità dovrà essere negata, e quindi si può presumere che la capacità lavorativa residua sia inutilizzabile, se l'attività ragionevole è possibile solo in una forma così limitata da essere praticamente sconosciuta al mercato del lavoro equilibrato o sarebbe possibile soltanto con concessioni irrealistiche da parte di un datore di lavoro medio e trovare un posto di lavoro adeguato appare quindi impossibile sin dall'inizio (STF 8C_346/2023 del 21 dicembre 2023, consid. 2.3; STF 9C_42/2023 dell'11 maggio 2023, consid. 3.2; STF 8C_670/2009 del 7 aprile 2010 consid. 8; STF 8C_641/2008 del 14 aprile 2009, consid. 5.2; DTF 110 V 273 consid. 4b pag. 276). Al riguardo, come è stato ricordato nella STF 8C_709/2008 del 3 aprile 2009 al considerando 2.3, il Tribunale federale ha già ripetutamente stabilito che in considerazione dell'ampio ventaglio di attività semplici e ripetitive contemplate dai settori della produzione e dei servizi (cfr. Tabella TA1_tirage_skill_level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venire eseguite mansioni di sorveglianza e controllo, che non comportano aggravi fisici e che consentono il cambiamento frequente di posizione (RCC 1980 pag. 482 consid. 2 (per es. attività d'incasso, d'assemblaggio, di confezione prodotti, di controllo, ecc.; STF 8C_563/2012 del 23 agosto 2012 consid. 3.3, che ha interamente confermato la STCA 35.2012.17 del 18 giugno 2012; STF 9C_635/2007 del 21 agosto 2008 consid. 3.3 e 9C_10/2007 del 26 marzo 2008 consid. 4.6.3). Va ancora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d’invalidità. In proposito va rilevato che il TFA ha già ritenuto corretto il rinvio ad attività nel settore industriale e commerciale, composto da lavori leggeri di montaggio, compiti di controllo e sorveglianza (STF 8C_399/ 2007 del 23 aprile 2008 consid. 8.2; Pratique VSI 1998 p. 296 consid. 3b; STFA U 329/01 del 25 febbraio 2003, consid 4.7). Va poi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(a proposito degli elementi da prendere in considerazione cfr. DTF 125 V 256 consid. 4; RtiD II-2008 pag. 274; Meyer-Blaser, Rechtsprechung des Bundesgerichts zum IVG, pag. 228 seg.). Occorre infine rilevare che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126 V 76 consid. 3b/bb; RCC 1991 pag. 332 consid. 3c, 1989 pag. 485 consid. 3b). 2.10.  Il ricorrente non ha contestato le conclusioni a cui l’amministrazione è pervenuta riguardo alla sua capacità lavorativa residua e, esaminata la documentazione agli atti, questo Giudice non ha motivo di metterle in dubbio. Va infatti condivisa la valutazione dell’Ufficio AI, secondo cui il ricorrente è in grado di svolgere al 100%, in un mercato del lavoro generale equilibrato, un'attività lavorativa compatibile con le limitazioni stabilite dal perito e derivanti dal danno alla salute (doc. 109 incarto AI). Su queste basi, non presta il fianco a critiche – peraltro non espresse dal ricorrente – nemmeno il confronto dei redditi che porta a un grado d’invalidità del 14.5%. Inferiore al 40%, questo grado d’invalidità – oltre a non permettere l’adozione di ulteriori provvedimenti professionali (cfr. consid. 2.4) – non dà diritto a una rendita. 2.11.  L’Ufficio AI ha pertanto correttamente negato al ricorrente il diritto a ulteriori provvedimenti professionali e a una rendita. Il ricorso va di conseguenza respinto e la decisione impugnata confermata. 2.12.  Per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