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32.2024.6 vom 6. Dezember 2023</w:t>
      </w:r>
    </w:p>
    <w:p>
      <w:r>
        <w:t>TI Tribunale d'appello, 2023-12-06, IT</w:t>
      </w:r>
    </w:p>
    <w:p>
      <w:r>
        <w:rPr>
          <w:b/>
        </w:rPr>
        <w:t xml:space="preserve">Quelle: </w:t>
      </w:r>
      <w:r>
        <w:t>https://mcp.opencaselaw.ch/entscheid/ti_gerichte_32.2024.6</w:t>
      </w:r>
    </w:p>
    <w:p>
      <w:r>
        <w:t>FR: TI_GERICHTE 32.2024.6 du 6 décembre 2023</w:t>
      </w:r>
    </w:p>
    <w:p>
      <w:r>
        <w:t>IT: TI_GERICHTE 32.2024.6 del 6 dicembre 2023</w:t>
      </w:r>
    </w:p>
    <w:p>
      <w:pPr>
        <w:pStyle w:val="Heading2"/>
      </w:pPr>
      <w:r>
        <w:t>Volltext</w:t>
      </w:r>
    </w:p>
    <w:p>
      <w:r>
        <w:t>Incarto n.32.2024.6</w:t>
      </w:r>
    </w:p>
    <w:p>
      <w:r>
        <w:t>FC</w:t>
      </w:r>
    </w:p>
    <w:p>
      <w:r>
        <w:t>Lugano</w:t>
      </w:r>
    </w:p>
    <w:p>
      <w:r>
        <w:t>13 maggio 2024</w:t>
      </w:r>
    </w:p>
    <w:p>
      <w:r>
        <w:t>In nomedella Repubblica e CantoneTicino</w:t>
      </w:r>
    </w:p>
    <w:p>
      <w:r>
        <w:t>Il vicepresidente</w:t>
      </w:r>
    </w:p>
    <w:p>
      <w:r>
        <w:t>del Tribunale cantonale delle assicurazioni</w:t>
      </w:r>
    </w:p>
    <w:p>
      <w:r>
        <w:t>Giudice Raffaele Guffi</w:t>
      </w:r>
    </w:p>
    <w:p>
      <w:r>
        <w:t>con redattrice:</w:t>
      </w:r>
    </w:p>
    <w:p>
      <w:r>
        <w:t>Francesca Cassina-Barzaghini, cancelliera</w:t>
      </w:r>
    </w:p>
    <w:p>
      <w:r>
        <w:t>segretario:</w:t>
      </w:r>
    </w:p>
    <w:p>
      <w:r>
        <w:t>Gianluca Menghetti</w:t>
      </w:r>
    </w:p>
    <w:p>
      <w:r>
        <w:t>statuendo sul ricorso del 9 gennaio 2024 di</w:t>
      </w:r>
    </w:p>
    <w:p>
      <w:r>
        <w:t>RI 1</w:t>
      </w:r>
    </w:p>
    <w:p>
      <w:r>
        <w:t>contro</w:t>
      </w:r>
    </w:p>
    <w:p>
      <w:r>
        <w:t>la decisione del 6 dicembre 2023 emanata da</w:t>
      </w:r>
    </w:p>
    <w:p>
      <w:r>
        <w:t>Ufficio assicurazione invalidità,6501 Bellinzona</w:t>
      </w:r>
    </w:p>
    <w:p>
      <w:r>
        <w:t>in materia di assicurazione federale per l'invalidità</w:t>
      </w:r>
    </w:p>
    <w:p>
      <w:r>
        <w:t>consideratoin fatto e in diritto</w:t>
      </w:r>
    </w:p>
    <w:p>
      <w:r>
        <w:t>che                         -  per decisione 19 giugno 2017, lUfficio AI, esperiti gli accertamenti medici ed economici del caso, aveva respinto una prima domanda di prestazioni presentata nel mese di gennaio 2017 da RI 1, nata nel 1970, attiva da ultimo quale ausiliaria di pulizie a tempo parziale, ritenuta unincapacità al lavoro per un periodo di tempo inferiore ad un anno ex art. 28 cpv. 1 lett. b LAI (segnatamente inabilità del 100% dal 7 agosto 2016 al 10 gennaio 2017 e del 50% dall11 gennaio al 28 febbraio 2017, ritenuto che dal 1° marzo 2017 lassicurata aveva ripreso in misura completa la sua attività lavorativa di addetta alle pulizie con occupazione al 50% e che non presentava alcuna limitazione come casalinga; doc. AI pag. 132);</w:t>
      </w:r>
    </w:p>
    <w:p>
      <w:r>
        <w:t>-  per decisione 6 dicembre 2023, confermativa di un progetto del 26 ottobre 2023, lUfficio AI, esperiti gli accertamenti medici ed economici del caso, ha respinto la nuova domanda di prestazioni presentata dallassicurata nel mese di ottobre 2022. Ritenendo lassicurata salariata al 50% e casalinga al 50%, lamministrazione ha concluso giudicandola totalmente inabile nellattività abituale di addetta alle pulizie e in ogni attività dall11 maggio 2022, ma dal 27 gennaio 2023 nuovamente abile in misura del 60% in attività adeguate allo stato di salute; quale casalinga per contro lassicurata era da considerare da sempre abile in misura completa. Determinata tramite raffronto dei redditi e in applicazione del metodo misto per il periodo successivo al gennaio 2023 una perdita di guadagno del 31%, lUfficio AI, essendo tale grado dinvalidità inferiore al 40%, ha negato la concessione di prestazioni (doc. B);</w:t>
      </w:r>
    </w:p>
    <w:p>
      <w:r>
        <w:t>-   con scritto 16 aprile 2024 linsorgente ha comunicato di aderire alla proposta dellamministrazione (XV);</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il 1° gennaio 2022 è entrata in vigore una (importante) modifica della LAI e dellOAI che concerne (anche) il diritto alla rendita (cfr. RU 2021 705). Occorre ricordare che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w:t>
      </w:r>
    </w:p>
    <w:p>
      <w:r>
        <w:t>In concreto, lassicurata ha presentato la sua domanda di prestazioni AI nellottobre 2022, lamentando uninabilità lavorativa dal mese di giugno 2022. La richiesta è stata respinta poiché lUfficio AI, pur avendo riconosciuto, dal mese di maggio 2022, un periodo di inabilità lavorativa completa, ha concluso che lassicurata era comunque nuovamente abile in misura del 60% dal gennaio 2023 in attività adeguate, con un conseguente grado dinvalidità inferiore al 40% (doc. B). Siccome, quindi, sia lipotetica invalidità sia leventuale diritto alle prestazioni dinvalidità sarebbero in ogni caso sortidopoil 1. gennaio 2022, determinante è il diritto in vigore dal 1° gennaio 2022. Ogni riferimento alle norme applicabili in concreto, salvo indicazione contraria, va quindi inteso nel tenore in vigore dal 1° gennaio 2022;</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      curazione per l'invalidità (Duc, Lassurance invalidité, in: Meyer (Hrsg.), SchweizerischesBundesverwaltungsrecht, Band XIV, Soziale Sicherheit, 2a ed., 2007, pag. 1411, n. 46).L'art.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28b LAI stabilisce la determinazione dellimporto della rendita, ritenuto che limporto della rendita è determinato quale quota percentuale di una rendita intera (cpv. 1). Se il grado dinvalidità è compreso tra il 50 e il 69 per cento la quota percentuale corrisponde al grado dinvalidità (cpv. 2), se il grado dinvalidità è uguale o superiore al 70 per cento lassicurato ha diritto a una rendita intera (cpv. 3), e se il grado dinvalidità è inferiore al 50 per cento le quote percentuali variano dal 25% (grado dinvalidità del 40 per cento) al 47.5% (grado dinvalidità del 49 per cento) come stabilito dal cpv. 4 della medesima norma.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Per lart. 29 cpv. 1 LAI il diritto alla rendita nasce al più presto dopo sei mesi dalla data in cui lassicurato ha rivendicato il diritto alle prestazioni conformemente allart. 29 cpv. 1 LPGA;</w:t>
      </w:r>
    </w:p>
    <w:p>
      <w:r>
        <w:t>-nel caso concreto, come chiesto con il gravame e come indicato in risposta di causa, alla luce degli atti medici allinserto e di quelli prodotti con il ricorso vè effettivamente da ritenere che, onde addivenire ad un chiaro e completo giudizio sulla situazione invalidante, la situazione medica vada ulteriormente e nuovamente indagata. Tale conclusione si impone secondo quanto concluso il 18 marzo 2024 dal SMR, per il quale, dopo aver visionato la documentazione versata agli atticomprendente unacertificazione del dr. med. __________ del 15 novembre 2023 secondo il quale lassicurata sarebbe inabile in misura completa in ogni attività trattandosi di una patologia psichiatrica disabilitante, doc. III/2; un rapporto della dr.ssa med. __________, psichiatra, del 22 gennaio 2024 che pone la diagnosi di schizofrenia di tipo paranoideo in fase residualee che espone che lassicurata avrebbe il valore del funzionamento globalemolto basso facendo fatica a curare la persona, infatti, la cura del sé mostrava delle carenze. Fa fatica ad occuparsi dell'economia domestica, doc. III/1; un rapporto della Clinica __________ del 17 ottobre 2023 dopo una degenza dal 21 agosto all'11 settembre 2023, per le diagnosi di Disturbo di personalità paranoide F60.0, sindrome post infarto miocardico, doc. D; uno scritto della dr.ssa __________, psichiatra, del 13 novembre 2023, la quale denuncia la presenza di una diagnosi psichiatrica grave; Disturbo di personalità paranoide, una malattia psichiatrica non curabile e quindi non guaribile con condizioni psichiche importanti (blocco del pensiero, diffidenza, insicurezza, ideazione che la gente le possa fare del male, che tutti sono contro di lei), essendo una paziente sovente stanca e fa il minimo indispensabile per la casa, pulire, cucinare, confusa, persa (doc. E)in considerazione anche dellavalutazione psichiatrica del dr. __________ del SMR avvenuta il 23 gennaio 2023, si rendeva necessaria la rivalutazione del caso previo un nuovo aggiornamento degli atti, con la necessità di inviare un nuovo formulario medico alla dr.ssa __________ e al generalista dr. __________ e di richiamare i rapporti delle eventuali visite cardiologiche effettuate dal 2022 ad oggi (XIII);</w:t>
      </w:r>
    </w:p>
    <w:p>
      <w:r>
        <w:t>-  sulla base di tali conclusioni del SMR, lUfficio AI nella sua risposta ha quindi concluso che in considerazione di quanto espresso lo scrivente UAI postula il ritorno degli atti all'amministrazione per procedere all'approfondimento medico-funzionale. Al termine dell'istruttoria medica l'UAI dovrà attuare le valutazioni necessarie anche in ambito casalingo, in considerazione dell'applicazione del metodo misto al caso concreto(XIII);</w:t>
      </w:r>
    </w:p>
    <w:p>
      <w:r>
        <w:t>-  a tale richiesta ha aderito, tramite il suo patrocinatore, la ricorrente in data 16 aprile 2024, affermando che () sono con la presente a comunicarelaccordodella mia mandante allannullamento della decisione impugnata con contestuale ritorno degli atti allUAI per ulteriori accertamenti, chiedendo di voler in ogni modo considerare lacquiescenza di controparte in relazione alla domanda di assistenza giudiziaria e alleventuale accollamento delle ripetibili(XV);</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considerato come gli accertamenti eseguiti dallamministrazione paiono incompleti, si giustifica ilrinvio degli attiaffinché essa procedanel senso sopra indicato. In esito alla nuova istruttoria dovrà essere emessa unanuova decisione soggetta a ricorsoai sensi degli artt. 56 e segg. LPGA (preceduta dal relativo preavviso ex art. 57a LAI), nel cui ambito lassicurata potrà riproporre ogni censura di fatto e di diritto, sia in relazione alla valutazione medica che a quella economica;</w:t>
      </w:r>
    </w:p>
    <w:p>
      <w:r>
        <w:t>-giusta l'art. 69 cpv. 1bisLAI in vigore dal 1° gennaio 2021 ed applicabile in concreto (cfr. la disposizione transitoria dellart. 82a LPGA in combinazione con gli art. 61 lett. a e fbisLPGA nel tenore in vigore dal 1° gennaio 2021)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lite, le spese di procedura di fr. 500 sono poste a carico dell'Ufficio AI, il quale verserà pure alla ricorrente, patrocinata in causa da un avvocato, fr. 1'800 (IVA inclusa) a titolo di ripetibili (art. 61 cpv. 1 lett. g LPGA), ciò che rende priva di oggetto la domanda di assistenza giudiziaria con gratuito patrocinio formulata in questa sede (DTF 124 V 301 consid. 6 e STF 9C_274/2014 del 30 settembre 2014 consid. 5).</w:t>
      </w:r>
    </w:p>
    <w:p>
      <w:r>
        <w:t>dichiara e pronuncia</w:t>
      </w:r>
    </w:p>
    <w:p>
      <w:r>
        <w:t>1.-  Il ricorso èaccolto.</w:t>
      </w:r>
    </w:p>
    <w:p>
      <w:r>
        <w:t>§   La decisione del 6 dicembre 2023 è annullata.</w:t>
      </w:r>
    </w:p>
    <w:p>
      <w:r>
        <w:t>§§ Gli atti sono rinviati allUfficio AI perché proceda conformemente ai considerandi.</w:t>
      </w:r>
    </w:p>
    <w:p>
      <w:r>
        <w:t>2.-  Le spese di procedura di fr. 500 sono poste a carico dellUffi-cio AI, il quale verserà alla ricorrente fr. 1'800 (IVA inclusa) per ripetibili, ciò che rende priva di oggetto la domanda di assistenza giudiziaria con gratuito patrocinio.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