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32.2024.41 vom 4. April 2024</w:t>
      </w:r>
    </w:p>
    <w:p>
      <w:r>
        <w:t>TI Tribunale d'appello, 2024-04-04, IT</w:t>
      </w:r>
    </w:p>
    <w:p>
      <w:r>
        <w:rPr>
          <w:b/>
        </w:rPr>
        <w:t xml:space="preserve">Quelle: </w:t>
      </w:r>
      <w:r>
        <w:t>https://mcp.opencaselaw.ch/entscheid/ti_gerichte_32.2024.41</w:t>
      </w:r>
    </w:p>
    <w:p>
      <w:r>
        <w:t>FR: TI_GERICHTE 32.2024.41 du 4 avril 2024</w:t>
      </w:r>
    </w:p>
    <w:p>
      <w:r>
        <w:t>IT: TI_GERICHTE 32.2024.41 del 4 aprile 2024</w:t>
      </w:r>
    </w:p>
    <w:p>
      <w:pPr>
        <w:pStyle w:val="Heading2"/>
      </w:pPr>
      <w:r>
        <w:t>Erwägungen</w:t>
      </w:r>
    </w:p>
    <w:p>
      <w:r>
        <w:rPr>
          <w:b/>
        </w:rPr>
        <w:t>E. 3</w:t>
      </w:r>
    </w:p>
    <w:p>
      <w:r>
        <w:t>e 4 OAI (dal 1° gennaio 2012: art. 87 cpv. 2 e 3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Schaffhauser/Schlauri, Die Revision von Dauerleistungen in der Sozialversicherung, 1999, p. 15; DTF 117 V 198). In DTF 130 V 64, il TFA ha precisato che nel caso in cui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 269 consid. 1a); sul punto cfr. anche DTF 130 V 64 consid. 3, 117 V 198 consid. 4b; Müller, Die materiellen Voraussetzungen der Rentenrevision in der Invalidenversicherung, 2003, pp. 84ss). Nell’ambito dell’art. 87 cpv. 3 e 2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marzo 2015 consid. 4.2, 8C_716/2011 del 5 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del rilevante cambiamento (STFA I 619/04 del 10 febbraio 2005, consid. 3).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 DTF 109 V 114 consid. 2b, 123 consid. 3b e 264 consid. 3; STFA I 619/04 del 10 febbraio 2005, consid. 3.1; STF 8C_716/2011 del 5 gennaio 2012 consid. 2.3.; v. anche SVR 2003 IV n. 25 pag. 76 ). 2.4. Nel caso che ci occupa, in primo luogo il ricorrente rileva che con decisione 16 settembre 2022 l’Ufficio AI lo aveva ritenuto abile al 100% in attività adeguate, mentre nel rapporto 30 novembre 2021 (recte: 12 dicembre 2021) il medico curante, dr.ssa med. __________, aveva attestato un’incapacità del 50% anche in attività leggere (doc. 73). Ammette di non aver impugnato la decisione, ma sostiene che la succitata valutazione del medico curante non può essere ignorata nell’ambito del presente giudizio. Al riguardo va innanzitutto fatto presente che la succitata decisione è cresciuta in giudicato. Inoltre va detto che a quanto sostenuto dall’assicurato, ossia che occorre tenere conto di quanto valutato nel dicembre 2021 dal medico curante, non può essere dato seguito. Infatti, con annotazione 8 giugno 2022, posta alla base della decisione 16 settembre 2022, il dr. med. __________ del SMR aveva ritenuto la situazione medica invariata confermando pertanto la sua precedente annotazione dell’11 febbraio 2020 con la quale aveva ritenuto l’assicurato pienamente abile in attività adeguate (doc. 81). L’Ufficio AI si è quindi scostato dal rapporto del medico curante, ciò che, appunto, non è stato oggetto di ricorso. 2.5.  Occorre ora esaminare se l’assicurato ha perlomeno reso verosimile un cambiamento dello stato valetudinario rispetto alla precedente decisione 16 settembre 2022 con la quale l’Ufficio AI aveva respinto la domanda di prestazioni, ritenendo l’aspetto clinico invariato rispetto alla precedente decisione del 2 giugno 2020, confermando l’abilità al 50% nell’abituale attività, ma piena in attività leggere adeguate. Ora, dall’esame della documentazione prodotta dall’insorgente questo TCA ritiene che l’Ufficio AI rettamente non è entrato nel merito dalla nuova (quarta) domanda di prestazioni. Questo per i seguenti motivi. Nell’ambito della seconda richiesta di rendita, sfociata con la decisione di reiezione del 2 giugno 2020, l’Ufficio AI si era fondato sul rapporto 11 febbraio 2020 del SMR, il cui dr. __________, sulla base degli atti medici raccolti, aveva diagnosticato una claudicatio spinalis con/su stenosi del canale recessuale bilaterale a livello di L4-L5, ritenendo l’assicurato inabile al 50% nella ultima abituale attività di pizzaiolo/cameriere, ma pienamente abile in attività adeguate (doc. 53). Con le già citate annotazioni</w:t>
      </w:r>
    </w:p>
    <w:p>
      <w:r>
        <w:rPr>
          <w:b/>
        </w:rPr>
        <w:t>E. 8</w:t>
      </w:r>
    </w:p>
    <w:p>
      <w:r>
        <w:t>giugno 2022, poste a fondamento della decisione 16 settembre 2022 di reiezione della domanda di rendita, il SMR aveva valutato la nuova documentazione medica prodotta dall’assicurato concludendo che “ la situazione clinico-funzionale dell’Assicurato appare immodificata, non vengono riportate nuove diagnosi e la situazione clinica rimane sovrapponibile a quella già nota. L’Assicurato non si è fino ad ora sottoposto ad un intervento neurochirurgico di decompressione, trattamento questo che potrebbe migliorare le condizioni funzionali in seno alla marcia ed alla sintomatologia algica, pertanto la nuova documentazione aggiornata agli atti non modifica le conclusioni del precedente RAF ” (pag. 288 inc. AI). A seguito della quarta domanda di prestazioni, l’assicurato ha in particolare prodotto i seguenti atti medici: · rapporto 21 dicembre 2023 del dr. med. __________, specialista in Neurochirurgia Cranica e Spinale. Diagnosticata una sindrome di claudicatio spinalis su stenosi del canale L4-L5, ha fatto presente, quale anamnesi, che: “si tratta di un paziente di 54 anni che presenta da almeno 5 anni una sindrome di claudicatio spinalis molto chiara con lento peggioramento della sintomatologia. Il suo perimetro di marcia è compreso tra 50 e 100 mt per il momento e ha notato questi ultimi anni un lento peggioramento. Prende un trattamento antalgico e antinfiammatorio senza nessun effetto. Ha già fatto nel 2019 delle infiltrazioni epidurali senza nessun miglioramento a lungo termine” (pag. 355 doc. AI). Dall’esame neurologico è risultata un’assenza di deficit motorio o sensitivo agli arti inferiori, segno di Lasègue positivo dei due lati e riflessi ipovivi simmetrici. Inoltre, lo specialista in neurochirurgia ha proposto all’assicurato un intervento di decompressione del canale al livello L4-L5, su cui il paziente voleva ancora riflettere; · rapporto 14 dicembre 2023 del dr. med. __________, FMH medicina interna. Quale dato d’anamnesi egli ha indicato che il paziente da 500 metri deambula ora a 100 metri scarsi con cedimento in ambedue agli arti inferiori sinistri (pag. 357 inc. AI); · referto radiologico 8 gennaio 2024 dr. med. __________ dell’__________ di __________, attestante una stenosi del canale più critica al passaggio L4-L5 in progressione rispetto al 2019 (pag. 354 inc. AI); · rapporto 8 febbraio 2024 del dr. med. __________. Quali diagnosi egli ha posto una sindrome lombovertebrale, una stenosi canale spinale L4-5 e una spondilartrosi L4-5 bilaterale. Ha in particolare valutato che “trattasi di un paziente che presenta importati limitazioni alla deambulazione per nota stenosi del canale spinale ”. Lo specialista ha fra l’altro confermato l’indicazione chirurgica già proposta e un approccio con endoscopia (pag. 364 inc. AI). Orbene, questo Giudice non intravede motivi per scostarsi dalla valutazione del medico SMR che, con annotazioni 14 dicembre 2023 (doc. 91), 4 gennaio 2024 (doc. 99) e 3 aprile 2024 (doc. 103), ritiene la summenzionata documentazione medica sovrapponibile a quella prodotta nell’ambito della precedente procedura sfociata nella decisione del 16 settembre 2022. Difatti, la diagnosi è rimasta invariata come pure in sostanza l’aspetto clinico. Certo, i sanitari hanno rimarcato un lento peggioramento e la deambulazione si è ridotta da 500 metri a 100 e 50 metri. Tuttavia va ricordato che, secondo la giurisprudenza (consid. 2.3), per entrare nel merito di una nuova domanda di prestazioni l’assicurato deve rendere verosimile una rilevante modifica dello stato di salute suscettibile di influenzare il diritto alle prestazioni, ciò che pertinentemente il SMR ha escluso. Ne consegue che, richiamato l’art. 87 cpv. 2 OAI e la giurisprudenza sopra indicata (cfr. supra consid. 2.3.), a ragione l’Ufficio AI, sulla scorta delle annotazioni dei medici SMR non è entrato nel merito della domanda di prestazioni. 2.6.  Visto tutto quanto precede, la decisione impugnata merita conferma mentre il ricorso va respinto. 2.7.  Secondo l'art. 69 cpv. 1 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