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32.2024.38 vom 21. März 2024</w:t>
      </w:r>
    </w:p>
    <w:p>
      <w:r>
        <w:t>TI Tribunale d'appello, 2024-03-21, IT</w:t>
      </w:r>
    </w:p>
    <w:p>
      <w:r>
        <w:rPr>
          <w:b/>
        </w:rPr>
        <w:t xml:space="preserve">Quelle: </w:t>
      </w:r>
      <w:r>
        <w:t>https://mcp.opencaselaw.ch/entscheid/ti_gerichte_32.2024.38</w:t>
      </w:r>
    </w:p>
    <w:p>
      <w:r>
        <w:t>FR: TI_GERICHTE 32.2024.38 du 21 mars 2024</w:t>
      </w:r>
    </w:p>
    <w:p>
      <w:r>
        <w:t>IT: TI_GERICHTE 32.2024.38 del 21 marzo 2024</w:t>
      </w:r>
    </w:p>
    <w:p>
      <w:pPr>
        <w:pStyle w:val="Heading2"/>
      </w:pPr>
      <w:r>
        <w:t>Regeste</w:t>
      </w:r>
    </w:p>
    <w:p>
      <w:r>
        <w:t>Ricorso (accolto per adesione): necessaria un’inchiesta domiciliare AGI al fine di appurare con precisione, tra l’altro, l’eventuale bisogno di accompagnamento nell’organizzazione della realtà quotidiana e nell’intrattenere contatti fuori casa. Rinvio atti per lacuna istruttoria</w:t>
      </w:r>
    </w:p>
    <w:p>
      <w:pPr>
        <w:pStyle w:val="Heading2"/>
      </w:pPr>
      <w:r>
        <w:t>Erwägungen</w:t>
      </w:r>
    </w:p>
    <w:p>
      <w:r>
        <w:rPr>
          <w:b/>
        </w:rPr>
        <w:t>E. 42</w:t>
      </w:r>
    </w:p>
    <w:p>
      <w:r>
        <w:t>cpv. 1 LAI prevede che l'assicurato grande invalido (art. 9 LPGA) con domicilio e dimora abituale (art. 13 LPGA) in Svizzera ha diritto a un assegno per grandi invalidi. La grande invalidità può essere di grado elevato, medio o lieve (art. 42 cpv. 2 LAI). Giusta l'art. 42 cpv. 3 LAI, è considerato grande invalido anche chi a causa di un danno alla salute vive a casa e necessita in modo permanente di essere accompagnato nell'organizzazione della realtà quotidiana. Chi soffre unicamente di un danno alla salute psichica è considerato grande invalido soltanto se ha diritto almeno a un quarto di rendita. Chi ha bisogno unicamente di essere accompagnato in modo permanente nell'organizzazione della realtà quotidiana è considerato grande invalido di grado lieve.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2.5.  In concreto questo Giudice non ravvisa motivi per non accogliere il gravame secondo la proposta formulata dall’Ufficio AI con la risposta di causa e condivisa dal ricorrente il 6 giugno 2024. Infatti, gli elementi evidenziati dal ricorrente relativi all’asserita dipendenza da terzi nell’organizzazione della realtà quotidiana e nell’intrattenere contatti al di fuori dell’ambito domestico, risultano pertinenti e non sono stati trattati né dal perito psichiatra, né dal medico SMR. Trattasi, ad esempio, dell’effettiva estensione della collaborazione prestata dalla moglie e dal figlio maggiore, della necessità di una routine – semplice e ben delineata – dettata dal ritardo mentale e cognitivo di cui soffre, dal fatto che egli è sostanzialmente analfabeta, come pure dell’inclinazione al ritiro sociale (I, p.ti 2.1.-2.2.5.) e di come tali elementi limitano l’insorgente. In tale contesto, si impone un’inchiesta domiciliare al fine di fugare ogni dubbio circa il bisogno di accompagnamento del ricorrente e, quindi, dell’eventuale diritto all’AGI. Per il che, gli atti vanno retrocessi all’Ufficio AI affinché proceda con i necessari approfondimenti. 2.6.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le spese di fr. 500 sono poste a carico dell’Ufficio AI, il quale verserà al ricorrente, patrocinato in causa da un avvocato, fr. 2'000 di ripetibili (art. 61 cpv. 1 lett. g LPGA), ciò che rende priva di oggetto la domanda di assistenza giudiziaria con gratuito patrocinio (pro multis DTF 124 V 301 consid. 6. e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