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32.2024.30 vom 5. März 2024</w:t>
      </w:r>
    </w:p>
    <w:p>
      <w:r>
        <w:t>TI Tribunale d'appello, 2024-03-05, IT</w:t>
      </w:r>
    </w:p>
    <w:p>
      <w:r>
        <w:rPr>
          <w:b/>
        </w:rPr>
        <w:t xml:space="preserve">Quelle: </w:t>
      </w:r>
      <w:r>
        <w:t>https://mcp.opencaselaw.ch/entscheid/ti_gerichte_32.2024.30</w:t>
      </w:r>
    </w:p>
    <w:p>
      <w:r>
        <w:t>FR: TI_GERICHTE 32.2024.30 du 5 mars 2024</w:t>
      </w:r>
    </w:p>
    <w:p>
      <w:r>
        <w:t>IT: TI_GERICHTE 32.2024.30 del 5 marzo 2024</w:t>
      </w:r>
    </w:p>
    <w:p>
      <w:pPr>
        <w:pStyle w:val="Heading2"/>
      </w:pPr>
      <w:r>
        <w:t>Regeste</w:t>
      </w:r>
    </w:p>
    <w:p>
      <w:r>
        <w:t>Diritto alla mezza rendita. Rinvio degli atti all'Ufficio AI per accertamenti medici, tenendo conto del peggioramento delle condizioni di salute intervenuto prima della decisione impugnata</w:t>
      </w:r>
    </w:p>
    <w:p>
      <w:pPr>
        <w:pStyle w:val="Heading2"/>
      </w:pPr>
      <w:r>
        <w:t>Erwägungen</w:t>
      </w:r>
    </w:p>
    <w:p>
      <w:r>
        <w:rPr>
          <w:b/>
        </w:rPr>
        <w:t>E. 28</w:t>
      </w:r>
    </w:p>
    <w:p>
      <w:r>
        <w:t>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28b cpv. 1 LAI prescrive che l’importo della rendita è determinato quale quota percentuale di una rendita intera. Il cpv. 2 dispone che se il grado d’invalidità è compreso tra il 50 e il 69 per cento, la quota percentuale corrisponde al grado d’invalidità. Il cpv. 3 prevede che se il grado d’invalidità è uguale o superiore al 70 per cento, l’assicurato ha diritto a una rendita intera. Infine, il cpv. 5 stabilisce che se il grado d’invalidità è inferiore al 50 per cento, si applicano le quote percentuali ivi indicate.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2.4.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 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un caso di riconsiderazione (STFA I 8/04 del 12 ottobre 2005 pubblicata in Plädoyer 1/06, pag. 64-65).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 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opag. cit., art. 28a, pag. 398-399 ) e che il solo fatto che uno o più medici curanti esprimano un’opinione contraddittoria non è sufficiente a rimettere in discussione una perizia ordinata dal giudice o dall’amministrazione e a imporre nuovi giurisprudenziali ivi menzionati). accertamenti (STF 9C_710/2011 del 20 marzo 2012 consid. 4.5 e 9C_9/2010 del 29 settembre 2010 consid. 3.4, entrambe con i rinvii 2.6.  Nella concreta fattispecie, dopo aver visitato l’assicurato l’11 agosto 2022 (doc. 45), aggiornati gli atti medici, con rapporto 12 settembre 2023 la dr.ssa med. __________ del SMR, poste le diagnosi con e senza influsso sulla capacità lavorativa ed elencati i limiti funzionali, ha valutato un’inabilità in qualsiasi attività del 100% dal 28 gennaio 2021, ridotta al 50% dal 15 marzo 2021, aumentata al 100% dal 30 giugno 2023 e, nuovamente ridotta al 50% dal 16 settembre 2023. In attività adeguate il medico SMR ha ritenuto data una piena abilità dal 14 luglio 2023 (doc. 72). Con il presente ricorso l’assicurato ha prodotto un atto medico volto a dimostrare un peggioramento del suo stato di salute. Trattasi dello scritto 10 aprile 2024 del medico curante, dr. med. __________, al dr. med. __________ (specialista della mano). Oltre ad elencare le diagnosi, il curante ha segnatamente segnalato che il paziente presenta “una nuova formazione cistica alla base della 3° mano sx e sotto la cicatrice si notano pure delle aderenze con coinvolgimento della cute ” (doc. C). Il curante ha chiesto allo specialista di convocare il suo paziente per accertamenti. Successivamente, pendente causa, il ricorrente ha prodotto: · rapporto 29 maggio 2024 del dr. med. __________ (visita ambulatoriale dello stesso giorno) (doc. D); · rapporto 1° luglio 2024 (visita ambulatoriale del 26 giugno 2024) del dr. med. __________ (doc. E); · rapporto 3 luglio 2024 (visita ambulatoriale dello stesso giorno) (doc. F). I suddetti atti medici sono stati valutati il 29 luglio 2024 dal medico SMR il quale, confermando il precedente rapporto del 12 settembre 2023, ha accertato un peggioramento avvenuto nel maggio 2024 a seguito di due modifiche di diagnosi (evoluzione delle listesi L5 e tenosinovite del flessore lungo il pollice) e di una relativa ai limiti funzionali (limitazione nella presa e nella forza di opposizione fra pollice ed indice mano sinistra in assicurato mancino). La dr.ssa med. __________ del SMR ha poi concluso che “detto peggioramento dello stato di salute potrà essere oggetto di un’eventuale ulteriore domanda di revisione (doc. XII/1). L’assicurato contesta detta conclusione, ritenendo il peggioramento antecedente all’emissione del provvedimento impugnato e suscettibile quindi di essere accertato dall’Ufficio AI. 2.7.  Alla luce della documentazione agli atti, questo giudice non può confermare la decisione dell’Ufficio AI di limitare il diritto alla rendita al 30 novembre 2022 senza effettuare ulteriori approfondimenti medici dovuti al peggioramento delle condizioni di salute dell’assicurato. In primo luogo va ricordato che p er costante giurisprudenza, il potere cognitivo del giudice delle assicurazioni sociali chiamato a valutare la legalità della decisione deferitagli è limitato temporalmente alla fattispecie rilevante al momento dell’emanazione di tale decisione (fra le tante: DTF 136 V 24 consid. 4.3; 130 V 445 consid. 1.2 con rinvii), in concreto dunque il 5 marzo 2024. La giurisprudenza federale ha tuttavia sottolineato che fatti verificatisi ulteriormente possono essere presi in considerazione se permettono un accertamento retrospettivo della situazione anteriore alla decisione resa (cfr. STF 8C_323/2023, 8C_324/2023, 8C_325/2023 del 17 ottobre 2023; SVR 2003 IV Nr. 25 consid. 1.2; DTF 130 V 140 e 129 V 4 consid. 1.2, 127 V 467 consid. 1, 121 V 366 consid. 1b; STCA 32.2023.46 dell'11 settembre 2023, consid. 2.9; STCA 32.2023.6 del 21 agosto 2023, consid. 2.6). Come visto al considerando precedente, il medico SMR ha ritenuto che l’eventuale peggioramento dello stato di salute dell’assicurato, dovuto in particolare dalla modifica delle diagnosi e delle limitazioni funzionali, sia da collocare nel mese di maggio 2024, successivamente quindi alla decisione contestata. Vero che nel rapporto del 3 luglio 2024 il dr. med. __________ aveva riferito che “ il paziente soffre di tal problematica (tenosivite del flessore lungo del pollice n.d.r.) da ca. 2 mesi (quindi da maggio 2024), con limitazione parziale nelle att. di flessione attivo del dito interessato ai massimi ” (doc. F). Tuttavia, va ricordato che nel mese di aprile 2024 il ricorrente si era rivolto al suo medico curante, facendogli presente una nuova formazione delle ciste alla mano sinistra (cfr. lo scritto 10 aprile 2024 del dr. med. __________ citato nel consid. 2.5). Successivamente, come esposto al considerando precedente, l’assicurato il 3 luglio 2024 è stato visto dallo specialista della mano dr. __________. In queste circostanze è poco verosimile che nel giro di un mese rispettivamente di due mesi dalla decisione impugnata sia subentrato il peggioramento. Va poi tenuto conto che l’ultimo atto medico (ossia il rapporto SMR) risale al 12 settembre 2023 (doc. 72). Inoltre, tra la delibera dell’Ufficio AI all’attenzione della competente cassa di compensazione riguardo l’esito degli accertamenti, datata al 5 ottobre 2023 (doc. 74), e la decisione impugnata (5 marzo 2024) sono trascorsi ben 5 mesi. Pertanto è ben possibile che al momento dell’emissione della decisione l’eventuale peggioramento fosse durato tre mesi senza interruzione notevole ai sensi dell’art. 88a cpv. 2 OAI. Secondo questo giudice tale peggioramento va pertanto preso in considerazione, in quanto, visto il tempo breve intercorso fra decisione impugnata e i referti in questione, non si può escludere, ma appare anzi probabile, che si riferisce ad un quadro clinico antecedente al provvedimento contestato. Spetta quindi all’Ufficio AI, al quale vanno retrocessi gli atti, valutare l’entità del peggioramento ai fini della residua capacità lavorativa in attività adeguate. Dopo di che, a dipendenze dell’esito, effettuate anche eventuali nuove valutazioni economiche che si rendessero necessarie, emetterà, nel rispetto dei dettami dell’art. 57a LAI, una nuova decisione soggetta a ricorso ai sensi degli artt. 56ss LPGA, in merito all’eventuale diritto alla rendita successivamente al 30 novembre 2022, ritenuto che il periodo precedente è rimasto incontestato. 2.8. Alla luce delle considerazioni esposte, la decisione impugnata deve essere annullata e il ricorso accolto. 2.9.  Secondo l'art. 69 cpv. 1f bis LAI nel tenore in vigore dal 1. gennaio 2021 ed applicabile in concreto (cfr. anche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favorevole del ricorso (il rinvio con esito aperto equivale a piena vittoria, cfr. STF 8C_307/2021 del 25 agosto 2021 consid. 6; DTF 141 V 281 consid. 11.1 e 137 V 210 consid. 7.1 con riferimenti) le spese di fr. 500 sono poste a carico dell’Ufficio AI, il quale verserà al ricorrente, patrocinato in causa da RA 1, fr. 1’800 di ripetibili (art. 61 cpv. 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