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32.2024.19 vom 9. Februar 2024</w:t>
      </w:r>
    </w:p>
    <w:p>
      <w:r>
        <w:t>TI Tribunale d'appello, 2024-02-09, IT</w:t>
      </w:r>
    </w:p>
    <w:p>
      <w:r>
        <w:rPr>
          <w:b/>
        </w:rPr>
        <w:t xml:space="preserve">Quelle: </w:t>
      </w:r>
      <w:r>
        <w:t>https://mcp.opencaselaw.ch/entscheid/ti_gerichte_32.2024.19</w:t>
      </w:r>
    </w:p>
    <w:p>
      <w:r>
        <w:t>FR: TI_GERICHTE 32.2024.19 du 9 février 2024</w:t>
      </w:r>
    </w:p>
    <w:p>
      <w:r>
        <w:t>IT: TI_GERICHTE 32.2024.19 del 9 febbraio 2024</w:t>
      </w:r>
    </w:p>
    <w:p>
      <w:pPr>
        <w:pStyle w:val="Heading2"/>
      </w:pPr>
      <w:r>
        <w:t>Regeste</w:t>
      </w:r>
    </w:p>
    <w:p>
      <w:r>
        <w:t>Ricorso (respinto) contro decisione di concedere rendita intera temporanea. Valutazione medica confermata, risultanze peritali e SMR non essendo inficiate dalle refertazioni di cui l’A. si prevale. Valutazione economica (nessun provv. professionale) confermata. AG (anche per proced. amm.) negata</w:t>
      </w:r>
    </w:p>
    <w:p>
      <w:pPr>
        <w:pStyle w:val="Heading2"/>
      </w:pPr>
      <w:r>
        <w:t>Erwägungen</w:t>
      </w:r>
    </w:p>
    <w:p>
      <w:r>
        <w:rPr>
          <w:b/>
        </w:rPr>
        <w:t>E. 1</w:t>
      </w:r>
    </w:p>
    <w:p>
      <w:r>
        <w:t>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54a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2.7. 2.7.1.  In concreto, ricevuta la domanda di prestazioni, al fine di accertare lo stato valetudinario dell’assicurata l’Ufficio AI ha fatto esperire una perizia bidisciplinare in ambito psichiatrico e neurologico, le cui conclusioni sono state fatte proprie dal medico SMR (cfr. supra consid. 1.2.). Successivamente è stata esperita una perizia pluridisciplinare in ambito internistico, psichiatrico, neurologico, neurochirurgico e reumatologico, confluita nel rapporto peritale del 19 settembre 2017, fatto proprio dal SMR (cfr. supra consid. 1.4.). Pervenutale nuova documentazione in fase di audizione, l’amministrazione ha predisposto una perizia di decorso di cui al rapporto del 1. marzo 2023, fatto proprio dal medico SMR (cfr. supra consid. 1.6.). La ricorrente contesta la valutazione medica posta alla base della decisione impugnata, sostenendo che, contrariamente a quanto concluso dai periti e dal medico SMR, ella presenti un’incapacità lavorativa (e pari grado d’invalidità) del 100% in ogni attività, rimproverando in particolare all’amministrazione un’errata ponderazione dell’affezione psichiatrica a fronte delle refertazioni agli atti (cfr. supra consid. 1.10.-1.12. e 1.16.). Questo Giudice, chiamato a verificare se lo stato di salute della ricorrente sia stato accuratamente vagliato dall’amministrazione prima dell’emanazione della decisione impugnata, dopo attenta analisi della documentazione medica agli atti, non ravvisa alcun motivo per metterne in dubbio le conclusioni. 2.7.2.  La ricorrente rimprovera all’amministrazione un’istruttoria lacunosa, sostenendo che le conseguenze dell’affezione psichiatrica sulla capacità lavorativa non siano state debitamente valutate, imponendosi perlomeno un’ulteriore valutazione peritale di decorso. A supporto della sua tesi, ella si prevale: - del rapporto del 2 ottobre 2023 della dr.ssa __________ (I, allegato A</w:t>
      </w:r>
    </w:p>
    <w:p>
      <w:r>
        <w:rPr>
          <w:b/>
        </w:rPr>
        <w:t>E. 6</w:t>
      </w:r>
    </w:p>
    <w:p>
      <w:r>
        <w:t>) (cfr. infra consid. 2.7.2.1.); - dei rapporti del 25 marzo e 27 maggio 2024 della dr.ssa __________ (X, allegato A 3 ; XVI, allegato A</w:t>
      </w:r>
    </w:p>
    <w:p>
      <w:r>
        <w:rPr>
          <w:b/>
        </w:rPr>
        <w:t>E. 11</w:t>
      </w:r>
    </w:p>
    <w:p>
      <w:r>
        <w:t>). 2.7.2.3.  La ricorrente si prevale della lettera ambulatoriale del 26 novembre 2023 del dr. __________ (specialista in neurochirurgia). Nel referto in parola lo specialista ha sottolineato una situazione famigliare, sociale e psicologica difficile, senza accertare alcuna incapacità lavorativa, senza alcuno confronto con le conclusioni peritali e rilevando come “ Obiettivamente non ho riscontrato variazioni rispetto alle valutazioni precedenti: la forza è conservata in tutti i distretti, la marcia è corretta e sono tendenzialmente aumentati i riflessi agli arti inferiori ”, ritenendo che lo stato neuropsicologico fosse, in quel momento, preclusivo di qualsiasi intervento chirurgico. È dunque a ragione che con annotazione del 27 dicembre 2023 il medico SMR ha osservato che “ Ho preso visione di un referto di visita neurochirurgica […] concernente la nota componente algica ben descritta in perizia e riportata nel rapporto SMR del 30.03.2023; non sono segnalati fatti medici nuovi né ulteriori provvedimenti chirurgici. La posizione SMR è confermata. ” (doc. 233 incarto AI). Per quanto concerne il fatto che i periti abbiano ritenuto utile continuare la presa a carico psichiatrica ambulatoriale ed eventualmente intensificarla anche dal profilo farmacologico (doc. 200, pagg. 1115 e 1141 incarto AI), mal si comprende cosa la ricorrente possa dedurne a proprio favore. Infatti, tale indicazione è stata fatta dai periti che hanno cionondimeno ritenuto la ricorrente – ad eccezione dei periodi di degenza – abile al 70% in attività adeguata ai limiti funzionali (cfr. supra consid. 1.6.). Le due indicazioni non si escludono a vicenda, ragione per cui il tentativo di scorporare la prima dalla seconda cade nel vuoto. Visto quanto precede, le conclusioni dei periti – la cui valutazione rispetta gli indicatori sanciti dalla giurisprudenza (cfr. supra consid. 2.5.) – e del medico SMR vanno confermate. 2.8.  La ricorrente ha inizialmente ritenuto “ prematura ” la valutazione economica operata dall’Ufficio AI (cfr. supra consid. 1.11.), salvo poi censurare l’assenza “ di una valutazione concreta e approfondita della reale sfruttabilità della capacità lavorativa residua ” comprensiva di misure di reintegrazione professionale, rimproverando all’Ufficio AI di non aver tenuto debitamente conto della sua età, dell’esperienza professionale limitata e della lunga assenza dal mercato del lavoro (cfr. supra consid. 1.16.), ragione per cui questo Giudice può limitare la disamina a questo aspetto. Secondo la giurisprudenza, il consulente in integrazione professionale, sulla scorta delle indicazioni e limitazioni mediche, valuta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 pro multis DTF 148 V 174 consid. 9.1. e 147 V 124 consid. 6.2.).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In concreto, fondandosi sulle conclusioni peritali confermate in questa sede, la consulente in integrazione professionale ha allestito il rapporto del 28 aprile 2023. Ella ha debitamente considerato l’età dell’assicurata, la formazione scolastica e l’esperienza professionale, lo stato di salute (capacità lavorativa, residua, limiti funzionali ed ulteriori limiti e/o risorse), svolto il colloquio esponendo l’esito delle valutazioni ed ascoltando il punto di vista dell’assicurata, indicandole che successivamente all’emanazione del preavviso avrebbe avuto trenta giorni per provare l’asserito peggioramento della situazione valetudinaria. Successivamente, la consulente in integrazione ha rilevato come sul mercato equilibrato del lavoro vi sia un ampio ventaglio di attività semplici e non qualificate rispettose dei limiti funzionali a cui l’assicurata avrebbe accesso diretto con un breve periodo introduttivo, quali ad esempio “ addetta alla qualità o imballaggio ”, “ operaia generica nell’industria ”, “ operaia non qualificata nell’industria manifatturiera, ad esempio di piccole viti o bulloni. Con dotazione ergonomica ”, “ addetta alla sorveglianza video di strutture amministrative o industriali, senza ronda e quindi senza esposizione ad agenti atmosferici o a sforzi fisici ”, “ aiuto in attività amministrative collaterali semplici quali scansione documenti, duplicatura, raccolta della posta e preparazione per la spedizione ”. Essendo l’assicurata direttamente reintegrabile senza una formazione supplementare, richiamata la cifra 4013 della Circolare sui provvedimenti d’integrazione professionali (CPIP, valida dal 1. gennaio 2014, stato al 1. gennaio 2018) la consulente in integrazione ha chiuso il mandato, non essendo date le premesse per provvedimenti di natura professionale (doc. 208 incarto AI). Pertanto, la censura della ricorrente risulta inconferente e la valutazione economica va confermata. 2.9.  Visto tutto quanto precede, la decisione impugnata merita conferma mentre il ricorso va integralmente respinto. 2.10.  Secondo l'art. 69 cpv. 1bis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 2.11.  Come accennato in narrativa (cfr. supra consid. 1.11) la ricorrente chiede di essere posta al beneficio dell’assistenza giudiziaria con gratuito patrocinio sia per la procedura amministrativa che per quella ricorsuale. Giusta l’art. 29 cpv. 3 Cost., chi non dispone dei mezzi necessari ha diritto alla gratuità della procedura se la sua causa non sembra priva di probabilità di successo. Ha inoltre diritto al patrocinio gratuito qualora la presenza di un legale sia necessaria a tutelare i suoi diritti. L’art. 37 cpv. 4 LPGA – disposto che deriva direttamente dall’art. 29 cpv. 3 Cost. e che concerne la procedura amministrativa in tutti i settori delle assicurazioni sociali (STF 8C_135/2018 del 7 settembre 2018 consid. 4.1. in fine; DTF 144 V 97 consid. 3.1.1; Betschart, BSK ATSG, n. 3 e seg. ad art. 37 LPGA con rinvii giurisprudenziali e dottrinali) – prevede che se le circostanze lo esigono, il richiedente può beneficiare del patrocinio gratuito. Il disposto in parola presuppone che il gratuito patrocinio venga esplicitamente richiesto. Tuttavia, nei casi in cui l’evidente impaccio (ted. Unbeholfenheit ) di una parte non permette di assicurare l’emanazione di una corretta decisione di notevole importanza, è possibile esaminare d’ufficio la possibilità di concedere il gratuito patrocinio (Kieser, ATSG-Kommentar, 2020, n. 34 ad art. 37 LPGA).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(Kieser, op. cit., n. 36 ad art. 37 LPGA; Müller, Das Verwaltungsverfahren in der Invalidenversicherung, 2010, pag. 397 e seg.). Per il resto, all’art. 37 cpv. 4 LPGA torna applicabile, di principio, la giurisprudenza sviluppata in relazione all’art. 61 lett. f LPGA (DTF 132 V 200 consid. 5.1.3; STCA 32.2017.205 del 12 settembre 2018 consid. 2.7.; Ackermann, Aktuelle Fragen zur unentgeltlichen Vertretung im Sozialversicherungsrecht, in: Schaffhauser/Kieser (Hrsg.), Sozialversicherungsrechtstagung 2010, pag. 154; Kieser, op. cit., n. 186 ad art. 61 LPGA; Kieser, das Verwaltungsverfahren in der Sozialversicherung, 1999, pag. 156; cfr. anche Blanc, La procédure administrative en assurance-invalidité, 1999, pagg. 262-268; Kieser, Unentgeltliche Rechtsverbeiständigung und Parteientschädigung, in: Schaffhauser/Schlauri (Hrsg.), Verfahrensfragen in der Sozialversicherung, 1996, pagg. 211-217; Locher/Gächter, Grundriss des Sozialversicherungsrechts, 2014, pag. 553). Se i presupposti sono adempiuti il gratuito patrocinio può essere concesso con effetto retroattivo anche nella procedura amministrativa (Kieser, op. cit. n. 51 ad art. 37 LPGA). Con l’accoglimento della domanda di gratuito patrocinio solo i costi di allestimento della domanda e quelli per i memoriali relativi all’oggetto del contendere principale (ted. Hauptsache ) possono essere accollati con effetto retroattivo. È quindi irrilevante il fatto che un assicurato abbia tardato a presentare la domanda a motivo di ignoranza o di una carente consulenza legale (DTF 122 I 203 consid. 2e; Ackermann, op. cit., pag. 171 e seg.).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n. 38 ad art. 37 LPGA).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8C_353/2019 del 2 settembre 2019 consid. 3.1, 8C_669/2016 del 7 aprile 2017 consid. 2.1, 9C_29/2017 del 6 aprile 2017 consid. 1; DTF 132 V 200 consid. 4.1, 125 V 202 consid. 4a, 125 V 372 consid. 5b con riferimenti; STCA 32.2024.44 del 30 settembre 2024 consid. 2.9.).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(STF 8C_669/2016 del 7 aprile 2017 consid. 2.1; DTF 132 V 200 consid. 5.1.1 e segg.,130 I 182 consid. 2.2, 125 V 32 consid. 4b; STF 8C_931/2015 del 23 febbraio 2016 pubblicata in SVR 2016 IV n. 17 pag. 50; Ackermann, op. cit., pag. 160 e seg.; cfr. anche SVR 2007 EL Nr. 7 consid. 5.2.2). Il criterio per ammettere la necessità dell’assistenza di un legale nella procedura amministrativa va verificato con particolare severità (STF 9C_786/2019 del 20 dicembre 2019 consid. 5.1., 8C_760/2016 del 3 marzo 2017 consid. 3.2. e seg., 8C_996/2012 del 28 marzo 2013 consid. 4.1; DTF 125 V 32 consid. 4b; Ackermann, op. cit., pag. 161; Betschart, n. 46 ad art. 37 LPGA; Forster, op. cit., n. 13 ad art. 37 LPGA; Müller, Die Grundrechte der schweizerischen Bundesverfassung, 1991, pag. 293 e seg.; Pratique VSI 2000 p. 164). Occorre poi ricordare che il gratuito patrocinio, sia in ambito di procedura ricorsuale che amministrativa, può essere riconosciuto solo ad un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Nel caso in disamina non era adempiuto il presupposto di probabilità di esito favorevole. Si rileva infatti che l’analisi – giocoforza sommaria – delle probabilità dell’esito della procedura è da effettuarsi al momento della presentazione della domanda di assistenza giudiziaria (Betschart, op. cit., n. 39 ad art. 37 LPGA), in concreto il 18 luglio 2023 (cfr. supra consid. 1.9.), e che gli unici documenti medici prodotti nell’ambito della procedura amministrativa consistevano nel rapporto del 2 ottobre 2023 della dr.ssa __________ ed in quello del 26 novembre 2023 del dr. __________ (cfr. supra consid. 1.10), refertazioni prodotte anche in questa sede (cfr. supra consid. 2.7.2.) e che, ora come allora, non erano di tutta evidenza idonee a smentire le conclusioni dei periti e del medico SMR (cfr. supra consid. 2.7.2.1. e 2.7.2.3.) È quindi a ragione che l’Ufficio AI ha respinto la domanda di assistenza giudiziaria con gratuito patrocinio per la procedura amministrativa, decisione che va confermata in questa sede. 2.12.  Per quanto attiene alla domanda di gratuito patrocinio per la procedura ricorsuale, anche in questo caso non risulta soddisfatto il requisito della probabilità di esito favorevole poiché sulla base degli atti all’inserto e per i motivi esposti ai considerandi 2.7.-2.8., la presente vertenza appariva sin dall’inizio destinata all’insuccesso. Pertanto, le istanze di assistenza giudiziaria con gratuito patrocinio per la procedura amministrativa e per quella ricorsuale devono essere respinte.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