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32.2024.17 vom 8. Februar 2024</w:t>
      </w:r>
    </w:p>
    <w:p>
      <w:r>
        <w:t>TI Tribunale d'appello, 2024-02-08, IT</w:t>
      </w:r>
    </w:p>
    <w:p>
      <w:r>
        <w:rPr>
          <w:b/>
        </w:rPr>
        <w:t xml:space="preserve">Quelle: </w:t>
      </w:r>
      <w:r>
        <w:t>https://mcp.opencaselaw.ch/entscheid/ti_gerichte_32.2024.17</w:t>
      </w:r>
    </w:p>
    <w:p>
      <w:r>
        <w:t>FR: TI_GERICHTE 32.2024.17 du 8 février 2024</w:t>
      </w:r>
    </w:p>
    <w:p>
      <w:r>
        <w:t>IT: TI_GERICHTE 32.2024.17 del 8 febbraio 2024</w:t>
      </w:r>
    </w:p>
    <w:p>
      <w:pPr>
        <w:pStyle w:val="Heading2"/>
      </w:pPr>
      <w:r>
        <w:t>Erwägungen</w:t>
      </w:r>
    </w:p>
    <w:p>
      <w:r>
        <w:rPr>
          <w:b/>
        </w:rPr>
        <w:t>E. 12</w:t>
      </w:r>
    </w:p>
    <w:p>
      <w:r>
        <w:t>[con refuso, n.d.r.]; Hürzeler, Diritto delle assicurazioni sociali, in: Formazione continua e aggiornamento per giuristi 2021, pag. 29; UFAS, Bollettino della previdenza professionale nr. 156 del 1. luglio 2021, n. 1067, p.to B.4.a.; ASIP, Fachmitteilung Nr. 127 del 25 agosto 2021: 7. IV-Revision: stufenloses Rentensystem, pto. 3.2.). Il marg. no. 9200 CIRAI prevede che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sino al 31 dicembre 2021”. Nel caso in esame l’UAI ha respinto una domanda di aumento del grado d’invalidità ad un’assicurata nata nel 1966, già al beneficio di un quarto di rendita. Ne segue che al caso di specie vanno applicate le norme in vigore fino al 31 dicembre 2021, cui si farà riferimento qui di seguito, tranne indicazione in senso contrario.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Con la modifica dell’Ordinanza sono state adeguate le attività nell’ambito delle mansioni consuete svolte dalle persone occupate nell’economia domestica (cfr. Leuenberger - Maro, “Changements dans la méthode mixte”, in Sécurité sociale 1/2018 pag. 40 seg (45-46)).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Va infine rilevato che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dicembre 2016 e nessuna decisione formale dell’Ufficio AI relativa a tale richiesta è finora cresciuta in giudicato. Occorre pertanto applicare il vecchio diritto per il calcolo delle prestazioni da agosto 2017 fino al 31 dicembre 2017, mentre le nuove norme vanno applicate per il periodo dal 1° gennaio 2018 (per dei casi in cui questo Tribunale ha già proceduto in questo senso vedi la STCA 32. 2018.56 del 25 febbraio 2019, 32.2018.29 del 7 febbraio 2019 e 32.2018.42 dell’8 ottobre 2018). 2.6. Nel caso in cui, invece, l’assicurato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l’art. 28a cpv. 2 LAI.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Ricordato che il metodo misto 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l’art. 27 bis OAI, nella versione in vigore dal 1. gennaio 2022, regola la valutazione del grado d’invalidità per gli assicurati che esercitano un’attività lucrativa a tempo parziale: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2.7.  In concreto l’Ufficio AI, come accennato, dopo aver sottoposto la nuova documentazione medica al vaglio del medico SMR, il quale ha ritenuto “ necessario un approfondimento peritale psichiatrico (si segnala che il legale fa anche riferimento al m. di Crohn come patologia con ripercussioni sulla CL) volto a determinare l’evoluzione della CL dell’assicurata a partire dall’ultima decisione AI cresciuta in giudicato ”, con la risposta di causa ha invitato questa Corte a retrocedergli gli atti per procedere in tal senso. Con osservazioni 22 aprile 2024 la ricorrente, oltre a convenire con la richiesta di retrocessione degli atti formulata dall’Ufficio AI, ha precisato che i prospettati accertamenti medici dovrebbero includere, oltre ad un esame peritale psichiatrico, anche una valutazione “ delle altre patologie risultanti dagli atti, come peraltro suggerito dallo stesso SMR ” e che nell’ambito della nuova valutazione della capacità lavorativa dovrebbe essere considerata quale salariata a tempo pieno. Ha inoltre osservato come a suo avviso la documentazione agli atti permetterebbe già l’emanazione di un giudizio in merito alla sua capacità lavorativa, rimettendosi a tal riguardo al giudizio di questo Tribunale. Tali osservazioni non sono state oggetto di contestazione da parte dell’Ufficio AI il quale è rimasto silente. Valutata la documentazione all’inserto, questo Giudice non ravvisa alcun motivo per non accogliere il gravame secondo la proposta formulata nella risposta di causa dall’Ufficio AI e, di principio, condivisa dalla ricorrente. In effetti, considerato il potenziale peggioramento dello stato valetudinario dell’insorgente a fronte della refertazione medica prodotta con il ricorso (cfr. supra consid. 1.2.), un approfondimento nel senso descritto dal medico SMR risulta necessario, onde addivenire ad un chiaro ed attendibile giudizio sull’evoluzione della capacità lavorativa dell’assicurata. In particolare, per quanto attiene alla patologia psichiatrica, la documentazione agli atti appare lacunosa e anche la certificazione della psichiatra curante dr.ssa med. __________ prodotta con il ricorso, la quale descrive un peggioramento dello stato psicopatologico dell’assicurata, non è esaustiva. La stessa, così come del resto le altre refertazioni agli atti (compresa la refertazione 31 gennaio 2020 del medico fiduciario della __________ dr.ssa med. __________ [cfr. doc. 204 incarto IG] cui fa riferimento l’insorgente, la quale risale inoltre ad oltre quattro anni fa sicché, ritenuta la recente evoluzione del quadro psicopatologico dell’insorgente, non risulta più attuale), non si esprime con sufficiente chiarezza sul grado di inabilità lavorativa e sull’evoluzione della stessa nel tempo e del resto neppure chiaramente sui motivi della certificata inabilità lavorativa ed è quindi bisognosa di ulteriore approfondimento. Non è peraltro superfluo sottolineare che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In merito alle affezioni somatiche, già nel rapporto medico 9 marzo 2020 (doc. 104 incarto AI) il dr. med. __________ aveva indicato il morbo di Crohn, diagnosticato nel 2010, quale patologia con ripercussioni sulla capacità lavorativa, così come successivamente riportato nel rapporto 29 ottobre 2023 anche dalla dr.ssa med. __________ (doc. 134 incarto AI). Con annotazione 8 aprile 2024 il medico SMR, oltre ad indicare la necessità di un approfondimento peritale psichiatrico, soggiunge: “ si segnala che il legale fa anche riferimento al m. di Crohn come patologia con ripercussioni sulla CL ” Già questi elementi risultano sufficienti, giacché mai oggetto di approfondimenti da parte dell’Ufficio AI, ad imporre un accertamento peritale gastroenterologico volto a determinare le ripercussioni di tale patologia sulla capacità lavorativa dell’assicurata. Parimenti dovrà essere approfondita la situazione della colonna lombare così come richiesto dall’insorgente e non contestato dall’Ufficio AI. In particolare emerge dagli atti come l’assicurata lamenti importanti lombalgie nel contesto di una discopatia di vecchia data (cfr. a tal riguardo referto peritale dr.ssa med. __________ del 31 gennaio 2020 di cui al doc.204 incarto AI e referto RM dr. med. __________ 17 luglio 2018, pp. 429-430 incarto AI) la quale non è mai stata oggetto di approfondimento da parte dell’amministrazione e che tale patologia, secondo le asserzioni dell’insorgente rimaste incontestate, può ripercuotersi sull’accertamento della capacità lavorativa. Si rende pertanto necessario anche un accertamento peritale in ambito reumatologico. Per quanto riguarda inoltre la ripartizione fra attività salariata e casalinga, quanto sostenuto dall’insorgente - ovvero che vista l’età della figlia, nata nel 1999, oggi avrebbe esercitato un’attività lucrativa a tempo pieno e non all’80% come ritenuto dall’amministrazione, cfr. supra consid. 1.2. - non permette di determinarsi con certezza non essendosi l’Ufficio AI chinato su quanto addotto con il ricorso. Anche tale aspetto necessita quindi un approfondimento.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perchè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considerato come questo Giudice ritiene giustificato e opportuno, a fronte delle argomentazioni di cui sopra, un approfondimento di tutti gli aspetti controversi, si giustifica il rinvio degli atti affinché l’amministrazione proceda ad una valutazione medica ed economica come sopra indicato, in esito alla quale dovrà essere emessa, nel rispetto dei dettami dell’art. 57 a LAI, una nuova decisione soggetta a ricorso nel cui ambito l’assicurata potrà far valere rispettivamente riproporre ogni (pertinente) censura di fatto e di diritto.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patrocinata in causa da un avvocato, fr. 2'000 di ripetibili (art. 61 cpv. 1 lett. g LPGA). L’assegnazione di ripetibili rende priva di oggetto la domanda di assistenza giudiziaria (cfr. pro multis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