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32.2023.99 vom 21. August 2023</w:t>
      </w:r>
    </w:p>
    <w:p>
      <w:r>
        <w:t>TI Tribunale d'appello, 2023-08-21, IT</w:t>
      </w:r>
    </w:p>
    <w:p>
      <w:r>
        <w:rPr>
          <w:b/>
        </w:rPr>
        <w:t xml:space="preserve">Quelle: </w:t>
      </w:r>
      <w:r>
        <w:t>https://mcp.opencaselaw.ch/entscheid/ti_gerichte_32.2023.99</w:t>
      </w:r>
    </w:p>
    <w:p>
      <w:r>
        <w:t>FR: TI_GERICHTE 32.2023.99 du 21 août 2023</w:t>
      </w:r>
    </w:p>
    <w:p>
      <w:r>
        <w:t>IT: TI_GERICHTE 32.2023.99 del 21 agosto 2023</w:t>
      </w:r>
    </w:p>
    <w:p>
      <w:pPr>
        <w:pStyle w:val="Heading2"/>
      </w:pPr>
      <w:r>
        <w:t>Regeste</w:t>
      </w:r>
    </w:p>
    <w:p>
      <w:r>
        <w:t>Ricorso contro decisione che ha negato il diritto a provvedimenti professionali e alla rendita. Ricorso accolto, con rinvio atti per ulteriori approfondimenti, secondo la proposta formulata pendente lite dall'Ufficio AI e condivisa dall'insorgente</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 avuto riguardo alle indicazioni sanitarie, valutare quali attività professionali siano concretamente ipotizzabili (Meyer/Reichmuth, Rechtsprechung des Bundesgerichts zum IVG, 2014, ad art. 28a, pag. 389). 2.6.  In concreto, valutata la documentazione all’inserto, questo Giudice non ravvisa alcun motivo per non accogliere il gravame secondo la proposta formulata con lo scritto del 23 ottobre 2023 dall’Ufficio AI e condivisa dal ricorrente. Infatti, oltre all’errore relativo al calcolo del grado d’invalidità (cfr. supra consid. 1.3. in initio-1.5.), l’istruttoria amministrativa risulta lacunosa anche sotto il profilo della (mancata) valutazione della reintegrabilità del ricorrente nel mercato del lavoro equilibrato. Tale aspetto, va approfondito dal servizio di integrazione professionale sulla base delle refertazioni mediche pertinenti (cfr. supra consid. 2.5.), come peraltro auspicato dalla stessa consulente in integrazione (cfr. supra consid. 1.7.). Anche l’aspetto medico necessita un approfondimento. Infatti, nella sua presa di posizione del 21 luglio 2023 (doc. 108, pag. 525 incarto AI) il perito psichiatra asserisce che “ ho preso visione […] delle osservazioni al progetto di decisione per assegno grandi invalid i […] , della lettera dello psichiatra curante […] e del rapporto del 07.06.2023 redatto dalla Dr.ssa __________ […]. Dall’esame della documentazione medica non ho rilevato elementi nuovi e tali da modificare quanto da me riportato nella mia valutazione peritale del 18.05.2022 […]”. Tuttavia, nel rapporto d’uscita dell’Ospedale __________ del 3 agosto 2023 la dr.ssa __________ ha rilevato, tra l’altro, l’insorgenza di “ idee di morte che […] non avrebbe ancora mai messo in atto individuando come unico fattore protettivo […] la sua famiglia ” (doc. 107, pag. 517 incarto AI). Questo elemento, come rettamente rilevato dall’insorgente (I, p.to 2.2.), è nuovo e rilevante e andava sottoposto al vaglio del dr. Mari. Per il che, gli atti vanno retrocessi all’Ufficio AI affinché proceda con i necessari approfondimenti. 2.7.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 ricorrente, patrocinato in causa da un avvocato,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