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32.2023.93 vom 10. Juli 2023</w:t>
      </w:r>
    </w:p>
    <w:p>
      <w:r>
        <w:t>TI Tribunale d'appello, 2023-07-10, IT</w:t>
      </w:r>
    </w:p>
    <w:p>
      <w:r>
        <w:rPr>
          <w:b/>
        </w:rPr>
        <w:t xml:space="preserve">Quelle: </w:t>
      </w:r>
      <w:r>
        <w:t>https://mcp.opencaselaw.ch/entscheid/ti_gerichte_32.2023.93</w:t>
      </w:r>
    </w:p>
    <w:p>
      <w:r>
        <w:t>FR: TI_GERICHTE 32.2023.93 du 10 juillet 2023</w:t>
      </w:r>
    </w:p>
    <w:p>
      <w:r>
        <w:t>IT: TI_GERICHTE 32.2023.93 del 10 luglio 2023</w:t>
      </w:r>
    </w:p>
    <w:p>
      <w:pPr>
        <w:pStyle w:val="Heading2"/>
      </w:pPr>
      <w:r>
        <w:t>Regeste</w:t>
      </w:r>
    </w:p>
    <w:p>
      <w:r>
        <w:t>Ricorso (respinto) contro decisione di riconoscere una rendita decrescente. Al rapporto del SMR, basato su perizie esterne indipendenti, va conferito pieno valore probatorio, i rapporti del curante esaurendosi in una diversa valutazione del medesimo quadro diagnostico. Valutazione anticipata prove</w:t>
      </w:r>
    </w:p>
    <w:p>
      <w:pPr>
        <w:pStyle w:val="Heading2"/>
      </w:pPr>
      <w:r>
        <w:t>Erwägungen</w:t>
      </w:r>
    </w:p>
    <w:p>
      <w:r>
        <w:rPr>
          <w:b/>
        </w:rPr>
        <w:t>E. 2</w:t>
      </w:r>
    </w:p>
    <w:p>
      <w:r>
        <w:t>LOG (pro multis STF 9C_699/2014 del 31 agosto 2015, in particolare consid. 5.2, 5.3 e 6.1; STF 8C_452/2011 del 12 marzo 2012; STF 9C_807/2014 del 9 settembre 2015; STF 9C_585/2014 dell’8 settembre 2015). nel merito</w:t>
      </w:r>
    </w:p>
    <w:p>
      <w:r>
        <w:rPr>
          <w:b/>
        </w:rPr>
        <w:t>E. 2.2</w:t>
      </w:r>
    </w:p>
    <w:p>
      <w:r>
        <w:t>Oggetto del contendere è sapere se, oltre ad aver riconosciuto il diritto ad una rendita intera (con grado d’invalidità del 100%) dal 1. settembre 2019 al 30 giugno 2020, a ragione o meno l’Ufficio AI ha riconosciuto il diritto ad una mezza rendita (con grado d’invalidità del 50%) dal 1. luglio 2020 in luogo di una rendita intera (con grado d’invalidità del 70%) dalla medesima data come richiesto dalla ricorrente. Va anzitutto rilevato che il 1. gennaio 2022, ossia prima dell’emanazione della decisione impugnata, è entrata in vigore una (importante) modifica della LAI e dell’OAI denominata “Ulteriore sviluppo dell’AI” e che concerne (anche) il diritto alla rendita (cfr. RU 2021 705). La lett. b delle Disposizioni transitorie della surriferita modifica della LAI prevede che “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 (cpv. 1). Il marginale 9101 della CIRAI prevede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 DT US AI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In casu, il diritto alla rendita è incontestatamente nato il 1. settembre 2019 e l’eventuale modifica rilevante ai sensi dell’art. 17 cpv. 1 LPGA è intervenuta il 1. luglio 2020 (cfr. supra consid. 1.5. e 1.6. in initio). L’Ufficio AI ha emanato la decisione qui impugnata il 10 luglio 2023 (cfr. supra consid. 1.5. in fine).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w:t>
      </w:r>
    </w:p>
    <w:p>
      <w:r>
        <w:rPr>
          <w:b/>
        </w:rPr>
        <w:t>E. 2.7</w:t>
      </w:r>
    </w:p>
    <w:p>
      <w:r>
        <w:t>2.7.1.  In concreto, ricevuta la domanda di prestazioni, al fine di accertare lo stato valetudinario dell’assicurata l’Ufficio AI ha fatto esperire una perizia pluridisciplinare esterna in ambito internistico, psichiatrico, oncologico e reumatologico (cfr. supra consid. 1.2.) le cui conclusioni sono state confermate dai periti in due occasioni (cfr. supra consid. 1.3.). Esperita un’ulteriore perizia monodisciplinare in ambito psichiatrico, il medico SMR ha ritenuto necessario modificare l’incapacità lavorativa accertata dai periti del __________, portandola dal 40% al 50% a fronte delle conclusioni del dr. __________ che si discostavano leggermente da quelle del dr. __________ (cfr. supra consid. 1.4.). La ricorrente, prevalendosi degli accertamenti dell’oncologo curante dr. __________, contesta esclusivamente la valutazione medica posta alla base della decisione impugnata, sostenendo che, contrariamente a quanto concluso dal medico SMR, ella presenti un’incapacità lavorativa (e pari grado d’invalidità) del 70% dal 1. luglio 2020 conferente il diritto ad una rendita intera da tale data (cfr. supra consid. 1.6. e 1.8.). Questo Tribunale, chiamato a verificare se lo stato di salute della ricorrente sia stato accuratamente vagliato dall’amministrazione prima dell’emanazione della decisione impugnata, dopo attenta analisi della documentazione medica agli atti, non ravvisa alcun motivo per metterne in dubbio le conclusioni. 2.7.2.  La ricorrente sostiene che le conseguenze del trattamento oncologico, ossia la sindrome di stanchezza cronica con conseguente difficoltà di concentrazione, non siano state debitamente valutate dai periti, alla cui valutazione andrebbe preferita quella del curante dr. __________ attestante un’incapacità lavorativa del 70% con pari grado d’invalidità. G iova preliminarmente ricordare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Tornando al caso in disamina, dal rapporto del 30 novembre 2020 del __________, si evince che la documentazione medica dei curanti attestante i problemi di affaticabilità, riduzione della concentrazione e memoria è stata riportata nell’estratto degli atti (doc. 81, pagg. 296, 302-308 incarto AI). Inoltre, anche le dichiarazioni dell’assicurata in tal senso sono state considerate (vedasi ad esempio doc. 81, pagg. 332 e 459, doc. 224, pag. 882 incarto AI). I periti hanno ritenuto che i surriferiti limiti funzionali fossero di pertinenza psichiatrica e oncologica. A tal proposito, il perito psichiatra ha rilevato che “ Per quel che riguarda le risorse le capacità prestative dell’A. dal lato psichico sono da ritenere valide ad eccezione di un lieve indebolimento delle funzioni cognitive con in modo particolare una ridotta capacità di concentrazione e di attenzione sostenuta nel tempo ”, accertando una “ CL 0% dal momento della presa a carico specialistica da parte della Dr.ssa __________ e cioè a partire dal 09.10.2019 per una durata di tre mesi, quindi dal 09.01.2020 CL 50% per una durata di tre mesi, infine CL 90% da marzo 2020 in avanti ” (doc. 81, pag. 420 e seg. incarto AI). Il perito oncologo, proprio in considerazione della sintomatologia sovradescritta, ha formulato la diagnosi con influenza sulla capacità lavorativa di “ Sindrome da affaticabilità cronica in stato dopo chemioterapia […]” (doc. 81, pag. 461 incarto AI), accertando un’incapacità lavorativa del 40% (rapportata ad un grado d’occupazione del 100%) in ogni attività dalla fine del trattamento oncologico (doc. 81, pag. 462 e seg. incarto AI). I periti del __________ avevano quindi accertato un’incapacità lavorativa globale del 40%, integrando le incapacità lavorative in ambito psichiatrico ed oncologico (cfr. supra consid. 1.2.). Nel rapporto del 30 gennaio 2023 del dr. __________ (cfr. supra consid. 1.4.) vengono poste le diagnosi con ripercussioni sulla capacità lavorativa di “ Nevrastenia (ICD 10, F48) ” e “ Sindrome ansiosa secondaria a linfoma di Hodgkin (ICD 11, 6E63) ”, accertata un’incapacità lavorativa del 50% (di cui 40% integrata a quella oncologica e 10% cumulata) e osservato quanto segue (sottolineature del redattore): " […] È solo dopo la diagnosi di linfoma ed il trattamento per lo stesso che si sono sviluppate […] una sindrome di tipo nevrastenico e un’ansia secondaria alla malattia neoplastica che hanno entrambe una ripercussione sulla CL. Mentre la sintomatologia nevrastenica è completamente integrabile alla sindrome da fatica cronica, l’ansia secondaria deve a mio avviso essere tenuta in considerazione perché peggiora la flessibilità ed il giudizio dell’assicurata, ponendola in una condizione di maggior evitamento delle attività rispetto alla sindrome da fatica cronica già diagnosticata nella perizia __________ e giudicata determinare una IL del 40% . Mi sembra, come sottolineato dal Dr. __________ nel suo rapporto dell’aprile 2022 che la “ differenza sta nell’interpretazione della gravità della sindrome di stanchezza cronica che è la diagnosi principale ” e aggiungo che la stessa è sovrapponibile alla nevrastenia. Tuttavia, contrariamente a quanto afferma al Dr.ssa __________, non vi è nell’analisi del decorso alcun peggioramento del quadro dall’aprile 2022. Infatti, a detta dell’assicurata stessa , il quadro è stabile ormai da dopo la chemioterapia e anche lo stesso Dr. __________ […] parla di un quadro stabile dal settembre 2021 . Anche il sottoscritto ritiene che effettivamente dall’esame del mini-ICF, che non era stato redatto nella perizia del Dr. __________, si evidenzino limiti funzionali significativi che, tenendo conto di entrambe le diagnosi (nevrastenia e sindrome ansiosa secondaria a malattia organica) comportano una riduzione della CL nella misura di un 50% e limitano anche a livello domestico il funzionamento dell’assicurata, anche se in misura non superiore al 20%. […] il quadro clinico da me osservato non si discosta da quanto descritto nella perizia precedente del Dr. __________ anche se, sul piano diagnostico e anche dell’influsso della patologia sulla CL, mi discosto dalle considerazioni del collega.” Con rapporto del 31 marzo 2023 il medico SMR, facendo propria la valutazione del dr. __________ in ambito psichiatrico, ha accertato un’incapacità lavorativa del 50% dal 1. aprile 2020, valutazione su cui l’Ufficio AI ha fondato la decisione qui impugnata (cfr. supra consid. 1.4. in fine). L’insorgente, come detto, contrappone alle conclusioni peritali e del medico SMR i rapporti del dr. __________ del 2 settembre 2021 (doc. 134 incarto AI), del 15 aprile 2022 (doc. 173, pag. 676 e seg. incarto AI) e del 1. settembre 2022 (doc. 207, pag. 808 e seg.) per giustificare la sua domanda di causa. Analizzati attentamente i rapporti del curante oncologo, si deve concludere che – come peraltro ammesso dallo stesso dr. __________ – in concreto la questione si riduce ad un diverso apprezzamento delle ripercussioni sulla capacità lavorativa della sindrome da affaticamento cronico in ambito oncologico e psichiatrico. In tale contesto, alla perizia del dr. __________ va conferita valenza probatoria piena, trattandosi di una perizia – ossequiosa dei criteri sanciti dalla giurisprudenza – allestita da uno specialista indipendente esterno e ricordato che in caso di lite non ci si può di regola fondare sulla posizione del medico curante, anche se specialista (cfr. supra consid. 2.6.). Per quanto concerne l’ambito psichiatrico, proprio a fronte delle critiche sollevate dal dr. __________ l’Ufficio AI ha chiesto una nuova perizia in tale disciplina ed il dr. __________, quale specialista esterno indipendente, ha accertato un’incapacità lavorativa in ambito psichiatrico leggermente diversa da quella accertata dal dr. __________. Valutate le due perizie esterne indipendenti, questo Giudice ritiene che, come rettamente concluso dal medico SMR, il rapporto peritale del dr. __________ sia preferibile e vada quindi confermato. Infatti, esso si compone di maggiore documentazione, è più recente, dettagliato, approfondito e critico, con un confronto puntuale con le diverse prese di posizione dei curanti e del dr. __________ e l’implementazione di tre ulteriori approfondimenti testali. Pertanto, la valutazione del SMR, il quale ha fatto propria la valutazione peritale del dr. __________ e quella del perito dr. __________, va confermata. 2.7.3.  La ricorrente censura il fatto che i periti dell’Ufficio AI abbiano preferito integrare le incapacità lavorative in ambito psichiatrico ed oncologico, piuttosto che, come da lei auspicato, cumularle. Va innanzitutto precisato che, sebbene il dr. __________ abbia ritenuto l’incapacità lavorativa in ambito psichiatrico completamente integrabile a quella oncologica, a far stato, come visto (cfr. supra consid. 2.7.2.) per la valutazione medica in ambito psichiatrico è la perizia del dr. __________, il quale ha ritenuto che l’incapacità lavorativa del 50% in ambito psichiatrico fosse integrabile a quella oncologica per il 40% e cumulabile a quest’ultima in misura del 10%. Ora, posto che il grado di incapacità lavorativa complessivo va stabilito in base ad una valutazione globale, un semplice cumulo dei gradi essendo inammissibile (pro multis STF 9C_295/2013 del 20 giugno 2013 consid. 4.4) e che “ La questione di sapere se i singoli gradi di inabilità […] si possano sommare, e se del caso in quale misura, è una problematica squisitamente medica che di principio il giudice non rimette in discussione ” (STF 9C_400/2011 del 23 marzo 2012 consid. 3.2. con rinvio alla STFA I 338/01 del 4 settembre 2001, in: RDAT I-2002 n. 72 pag. 485 consid. 2b e STF 9C_721/2012 del 24 ottobre 2012 consid. 4.2.), il motivo per cui in casu l’incapacità lavorativa in ambito psichiatrico è stata in gran parte integrata a quella in ambito oncologico è stato sufficientemente spiegato dal dr. __________ (cfr. supra consid. 2.7.2.). Il fatto che l’insorgente, profana in medicina, contesti tramite il proprio patrocinatore il procedere del dr. __________ limitandosi ad asserire che “ Nella perizia del SMR […] si sostiene che la IL psichiatrica è integrabile per un 40% a quella sul piano oncologico, cumulabile per un 10%, quando per contro il dott. __________ nei suoi rapporti ha stimato una percentuale ben maggiore ” non è certo motivo sufficiente per mettere in dubbio quanto accertato dal perito psichiatra, ritenuto che il dr. __________, oltre a non essere specialista in psichiatria, è il curante della ricorrente, circostanza che relativizza, come visto (cfr. supra consid. 2.6. e 2.7.2.), la forza probatoria delle sue conclusioni in contrasto con gli accertamenti di periti esterni indipendenti. Pertanto, la censura dell’insorgente s’appalesa inconferente. 2.8.  La ricorrente non contesta la valutazione economica operata dall’Ufficio AI ed il TCA non ha motivo per discostarsene. 2.9.  Visto tutto quanto precede, la decisione impugnata merita conferma, mentre il ricorso va integralmente respinto. 2.10.  Come accennato (cfr. supra consid. 1.7.), la ricorrente ha chiesto l’audizione del dr. __________ “ affinché si esprima sulle sequele e l’incidenza che la stanchezza cronica ha sulla capacità lavorativa residua ” ed una perizia giudiziaria in ambito oncologico “ affinché accerti le conseguenze che tale cura ha avuto sulla capacità lavorativa residua dell’assicurata ” (VI).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2a ed., pag. 274, si veda pure STF 9C_632/2012 del 10 gennaio 2013; STF 9C_231/2012 del 24 agosto 2012). Un tale modo di procedere non lede il diritto di essere sentito conformemente all'art. 29 cpv.2 Cost. (DTF 124 V 94 consid. 4b, 122 V 162 consid. 1d e sentenza ivi citata). In concreto, a fronte di una situazione medica ritenuta sufficientemente chiarita, questo Giudice rinuncia all’assunzione di ulteriori prove di carattere medico, ritenuto che il dr. __________ ha già espresso più volte il suo punto di vista e che agli atti risulta una perizia esperita da uno specialista esterno indipendente a cui è stata conferita piena valenza probatoria.</w:t>
      </w:r>
    </w:p>
    <w:p>
      <w:r>
        <w:rPr>
          <w:b/>
        </w:rPr>
        <w:t>E. 2.11</w:t>
      </w:r>
    </w:p>
    <w:p>
      <w:r>
        <w:t>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