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32.2023.79 vom 19. Juni 2023</w:t>
      </w:r>
    </w:p>
    <w:p>
      <w:r>
        <w:t>TI Tribunale d'appello, 2023-06-19, IT</w:t>
      </w:r>
    </w:p>
    <w:p>
      <w:r>
        <w:rPr>
          <w:b/>
        </w:rPr>
        <w:t xml:space="preserve">Quelle: </w:t>
      </w:r>
      <w:r>
        <w:t>https://mcp.opencaselaw.ch/entscheid/ti_gerichte_32.2023.79</w:t>
      </w:r>
    </w:p>
    <w:p>
      <w:r>
        <w:t>FR: TI_GERICHTE 32.2023.79 du 19 juin 2023</w:t>
      </w:r>
    </w:p>
    <w:p>
      <w:r>
        <w:t>IT: TI_GERICHTE 32.2023.79 del 19 giugno 2023</w:t>
      </w:r>
    </w:p>
    <w:p>
      <w:pPr>
        <w:pStyle w:val="Heading2"/>
      </w:pPr>
      <w:r>
        <w:t>Erwägungen</w:t>
      </w:r>
    </w:p>
    <w:p>
      <w:r>
        <w:rPr>
          <w:b/>
        </w:rPr>
        <w:t>E. 1</w:t>
      </w:r>
    </w:p>
    <w:p>
      <w:r>
        <w:t>LAI, l'eventuale diritto a una rendita sarebbe insorto al più presto sei mesi dopo la sua rivendicazione del diritto alle prestazioni, e meglio il 1° ottobre 2022 (art. 29 cpv. 3 LAI) (cfr. Circolare sull'invalidità e la grande invalidità nell'assicurazione per l'invalidità (CIGI), n. 2027 con esempio; cfr. anche Valterio , Commentaire – Loi fédérale sur l'assurance-invalidité (LAI), 2018, n. 1, 3 e 4 ad art. 29 LAI). Ne consegue che, sulla scorta delle citate circolari, in specie è applicabile il diritto in vigore dal 1° gennaio 2022. 2.3.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 L'assurance invalidité, in: Meyer (Hrsg.), Schweizerisches Bundesverwaltungsrecht, Band XIV, Soziale Sicherheit, 2a ed., 2007, pag.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agli artt.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2.4.  Trattandosi di una nuova domanda di prestazioni AI, va ricordato che giusta l'art. 87 cpv.</w:t>
      </w:r>
    </w:p>
    <w:p>
      <w:r>
        <w:rPr>
          <w:b/>
        </w:rPr>
        <w:t>E. 3</w:t>
      </w:r>
    </w:p>
    <w:p>
      <w:r>
        <w:t>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Nella presente fattispecie, lo stato d'indigenza della ricorrente, a carico della pubblica assistenza dal 1° luglio 2023, è documentato dal Certificato municipale rilasciato il 31 luglio 2023 (doc. A5) e dalla decisione del 13 giugno 2023 (doc. A6) dell'Ufficio del sostegno sociale e dell'inserimento. Ritenuto, inoltre, come il ricorso non appariva, ad un sommario esame iniziale, del tutto privo di possibilità di esito sfavorevole (STF 9C_148/2021 del 25 ottobre 2021, consid. 5) , la domanda di assistenza giudiziaria (esonero dal pagamento delle spese di procedura) merita accoglimento, riservato l'obbligo di rimborso, qualora la situazione economica dell'assicurata dovesse in futuro migliorare (DTF 124 V 309, DTF 122 I 5; art.</w:t>
      </w:r>
    </w:p>
    <w:p>
      <w:r>
        <w:rPr>
          <w:b/>
        </w:rPr>
        <w:t>E. 6</w:t>
      </w:r>
    </w:p>
    <w:p>
      <w:r>
        <w:t>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