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32.2023.73 vom 15. Juni 2023</w:t>
      </w:r>
    </w:p>
    <w:p>
      <w:r>
        <w:t>TI Tribunale d'appello, 2023-06-15, IT</w:t>
      </w:r>
    </w:p>
    <w:p>
      <w:r>
        <w:rPr>
          <w:b/>
        </w:rPr>
        <w:t xml:space="preserve">Quelle: </w:t>
      </w:r>
      <w:r>
        <w:t>https://mcp.opencaselaw.ch/entscheid/ti_gerichte_32.2023.73</w:t>
      </w:r>
    </w:p>
    <w:p>
      <w:r>
        <w:t>FR: TI_GERICHTE 32.2023.73 du 15 juin 2023</w:t>
      </w:r>
    </w:p>
    <w:p>
      <w:r>
        <w:t>IT: TI_GERICHTE 32.2023.73 del 15 giugno 2023</w:t>
      </w:r>
    </w:p>
    <w:p>
      <w:pPr>
        <w:pStyle w:val="Heading2"/>
      </w:pPr>
      <w:r>
        <w:t>Regeste</w:t>
      </w:r>
    </w:p>
    <w:p>
      <w:r>
        <w:t>Ricorso (accolto) per adesione. L’UAI ha – a torto – considerato l’A. casalingo al 100%, nonostante indicazione dell’A. che senza il danno alla salute avrebbe lavorato al 100%. Ripetibili per procedura amministrativa da fissare dall’UAI</w:t>
      </w:r>
    </w:p>
    <w:p>
      <w:pPr>
        <w:pStyle w:val="Heading2"/>
      </w:pPr>
      <w:r>
        <w:t>Erwägungen</w:t>
      </w:r>
    </w:p>
    <w:p>
      <w:r>
        <w:rPr>
          <w:b/>
        </w:rPr>
        <w:t>E. 12</w:t>
      </w:r>
    </w:p>
    <w:p>
      <w:r>
        <w:t>marzo 2012; STF 9C_807/2014 del 9 settembre 2015; STF 9C_585/2014 dell’8 settembre 2015). nel merito 2.2.  Oggetto del contendere è sapere se a ragione o meno l’Ufficio AI ha respinto la (terza) domanda di prestazioni presentata dall’assicurato nel luglio 2020. Va anzitutto rilevato che il 1° gennaio 2022, ossia prima dell’emanazione della decisione impugnata, è entrata in vigore una (importante) modifica della LAI e dell’OAI denominata “Ulteriore sviluppo dell’AI” e che concerne (anche) il diritto alla rendita (RU 2021 705). La Circolare sull’invalidità e sulla rendita nell’assicurazione invalidità (CIRAI), valida dal 1. gennaio 2022 (stato al 1. luglio 2023), prevede alla cifra 9101 che “ Se la decisione sulla prima concessione di una rendita è emanata dopo il 1° gennaio 2022, ma il diritto alla rendita è nato prima di questa data, sono applicabili le disposizioni della LAI e dell’OAI nel tenore in vigore fino al 31 dicembre 2021 ”. Le cifre 1007 e seg. della Circolare concernente le disposizioni transitorie della riforma Ulteriore sviluppo dell’AI sul sistema di rendite lineare (C DT US AI), edita dall’UFAS, stato al 1. gennaio 2022 e valido da tale data, prevedono che: " Conformemente alle DT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terza domanda di prestazioni, ossia nel luglio del 2020 (cfr. supra consid. 1.3. in initio), l’assicurato non beneficiava di prestazioni AI (cfr. supra consid. 1.1. e 1.2.). Ne consegue che a prescindere dal fatto che la (terza) domanda fosse tardiva o meno, l’eventuale diritto a prestazioni AI è insorto prima della modifica legislativa in parola. In concreto, al momento della terza domanda l’assicurato non beneficiava di prestazioni AI (cfr. supra consid. 1.1. e 1.2.). La terza domanda di prestazioni è stata presentata a luglio 2020 (cfr. supra consid. 1.3.), ragione per cui l’eventuale diritto a prestazioni è in ogni caso insorto prima della modifica legislativa di cui sopra (cfr. artt. 28 cpv. 1 lett. b e 29 cpv. 1 LAI).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In concreto, valutata la documentazione all’inserto, questo Giudice non ravvisa alcun motivo per non accogliere il gravame secondo la proposta formulata nella risposta di causa e condivisa dal ricorrente. In effetti, nell’ambito della prima domanda di prestazioni è stata l’amministrazione a partire dall’assunto che l’assicurato era “ 100% casalingo ” (docc. 29 e doc. 37, pag. 155 in fine incarto AI), nonostante quest’ultimo avesse comunicato a più riprese che senza il danno alla salute avrebbe lavorato al 100% (doc. 33, pag. 144 e doc. 35 incarto AI). Inoltre, come rilevato dal dr. __________ (doc. 24, pag. 108 incarto AI) e dai periti del __________ (doc. 99, pag. 433 e seg. incarto AI) è stata la patologia psichiatrica unitamente al massiccio abuso di stupefacenti fin dall’età dell’apprendistato ad aver inficiato ogni tentativo di reinserimento lavorativo, posizione nuovamente ribadita nel complemento peritale del 7 giugno 2023 (doc. 114 incarto AI: “[…] La valutazione se l’A. sia da considerare casalingo oppure […] persona con attività lucrativa non è di competenza medica. Rileviamo comunque che il disturbo di personalità presente da lunghi anni determina un grado di disabilità moderato per quanto concerne il rispetto delle regole e degli appuntamenti e per quanto concerne la continuità lavorativa, con priorità basate sulla ricerca di evitare le frustrazioni . Appare pertanto plausibile che tali anomalie comportamentali primarie, determinate dal disturbo di personalità misto con tratti borderline, abbia inficiato sulla capacità dell’A. d’integrarsi nel mondo del lavoro, con curriculum […] sin dall’inizio […] molto frammentato ed incostante ”). Oltre a ciò, è stato lo stesso Ufficio AI che in questa sede ha dato atto all’insorgente di aver tentato a più riprese un (re)inserimento professionale e che ciò non è stato possibile a causa delle patologie – in particolare quelle psichiatriche – di cui egli è affetto (IV, pag. 4 ed allegati; I, allegato E). Ne consegue che l’insorgente è da considerare salariato e non casalingo, ragione per cui per determinare l’incapacità lavorativa ci si dovrà basare sulle pertinenti refertazioni mediche e non sull’inchiesta domiciliare del 2018. A tal proposito si osserva che i periti del __________ hanno accertato un’importante riduzione della capacità lavorativa sia in attività abituale che in quella adeguata (doc. 99, pagg. 457-462 incarto AI), prevalentemente a motivo dell’affezione psichiatrica. Quo alla valutazione economica, essa risulta prematura in quanto vanno innanzitutto valutati provvedimenti d'integrazione , il diritto alla rendita essendo sussidiario (cfr. supra consid. 2.3.). In ogni caso, la graduazione dell’invalidità non potrà avvenire tramite il metodo specifico (cfr. supra consid. 2.4.) ma piuttosto quello generale del raffronto dei redditi (cfr. supra consid. 2.3.). 2.6.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 ricorrente, patrocinato in causa da un avvocato, fr. 1'800 di ripetibili (art. 61 cpv. 1 lett. g LPGA), ciò che rende priva di oggetto la domanda di gratuito patrocinio formulata per la procedura ricorsuale (pro multis 124 V 301 consid. 6. e STF 9C_274/2014 del 30 settembre 2014 consid. 5.). Come accennato (cfr. supra consid. 1.3.), l’avv. RA 2 aveva formulato domanda di gratuito patrocinio per la procedura amministrativa, richiesta che è stata respinta con la decisione impugnata e che è stata fatta oggetto di ricorso (cfr. supra consid. 1.4.). Con la risposta di causa l’Ufficio AI ha riconosciuto il diritto all’assistenza giudiziaria con gratuito patrocinio anche per la procedura amministrativa (cfr. supra consid. 1.5.). Considerato che – come nella fattispecie in esame – la retrocessione degli atti all’amministrazione per complemento istruttorio configura una decisione incidentale che non mette fine alla procedura amministrativa (STF 9C_163/2022 del 25 aprile 2022 con riferimenti, 8C_669/2016 del 7 aprile 2017 consid. 1., DTF 139 V 604 consid. 2.1. e segg., 133 V 645 consid. 1., 139 V 600; Frey/Mosimann/Bollinger, AHVG/IVG Kommentar, 2018, n. 10 e 12 ad at. 37 LPGA), l’ammontare delle ripetibili per la procedura amministrativa dovrà essere determinato dall’Ufficio AI – a cui gli atti anche su questo punto vanno rinviati –  al termine dell’istruttoria, rispettivamente al termine del mandato di patrocinio e sarà possibile contestarlo, se del caso, con ricorso contro la decisione finale (Forster, Rechtsprechung des Bundesgerichts zum ATSG, in: RBS 2021, pagg. 349, 352 e seg.; in tema anche STF 9C_671/2020 del 17 gennaio 2022 consid. 5.2., DTF 140 V 116 consid. 4.; Kieser, Kommentar zum Bundesgesetz über den Allgemeinen Teil des Sozialversicherungsrechts ATSG, 2020, n. 47-53 ad art. 37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