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32.2023.72 vom 12. Juni 2023</w:t>
      </w:r>
    </w:p>
    <w:p>
      <w:r>
        <w:t>TI Tribunale d'appello, 2023-06-12, IT</w:t>
      </w:r>
    </w:p>
    <w:p>
      <w:r>
        <w:rPr>
          <w:b/>
        </w:rPr>
        <w:t xml:space="preserve">Quelle: </w:t>
      </w:r>
      <w:r>
        <w:t>https://mcp.opencaselaw.ch/entscheid/ti_gerichte_32.2023.72</w:t>
      </w:r>
    </w:p>
    <w:p>
      <w:r>
        <w:t>FR: TI_GERICHTE 32.2023.72 du 12 juin 2023</w:t>
      </w:r>
    </w:p>
    <w:p>
      <w:r>
        <w:t>IT: TI_GERICHTE 32.2023.72 del 12 giugno 2023</w:t>
      </w:r>
    </w:p>
    <w:p>
      <w:pPr>
        <w:pStyle w:val="Heading2"/>
      </w:pPr>
      <w:r>
        <w:t>Regeste</w:t>
      </w:r>
    </w:p>
    <w:p>
      <w:r>
        <w:t>Ricorso (respinto) contro decisione UAI di rifiuto di prestazioni. A. contestata statuto di casalinga al 100% ma non prova che i assenza del danno alla salute avrebbe lavorato a tempo parziale. Statuto casalinga 100% e conclusioni dell’inchiesta domiciliare confermati</w:t>
      </w:r>
    </w:p>
    <w:p>
      <w:pPr>
        <w:pStyle w:val="Heading2"/>
      </w:pPr>
      <w:r>
        <w:t>Erwägungen</w:t>
      </w:r>
    </w:p>
    <w:p>
      <w:r>
        <w:rPr>
          <w:b/>
        </w:rPr>
        <w:t>E. 12</w:t>
      </w:r>
    </w:p>
    <w:p>
      <w:r>
        <w:t>marzo 2012; STF 9C_807/2014 del 9 settembre 2015; STF 9C_585/2014 dell’8 settembre 2015). nel merito 2.2.  Oggetto del contendere è sapere se a ragione o meno l’Ufficio AI ha negato all’assicurata il diritto alla rendita dopo averne determinato lo statuto di casalinga con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l’assicurata ha presentato la domanda di prestazioni il 23 aprile/2 maggio 2022 (cfr. supra consid. 1.1. in initio), ragione per cui l’eventuale diritto a prestazioni sarebbe in ogni caso insorto dopo la modifica legislativa (cfr. artt. 28 cpv. 1 lett. b e 29 cpv. 1 LAI).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Forster, Rechtsprechung des Bundesgerichts zum ATSG, in: RBS 2021, n. 67 e seg. ad art. 16 LPGA con riferimenti; Meyer/Reichmuth, Rechtsprechung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In concreto, ricevuta la domanda di prestazioni, al fine di accertare l’eventuale diritto dell’assicurata ad una rendita l’Ufficio AI ha esperito gli accertamenti medici ed economici confluiti nei rapporti SMR del 2 novembre 2022 e 17 febbraio 2023 e nel rapporto d’inchiesta economica del 29 gennaio 2023 (cfr. supra consid. 1.1.), emanando la decisione qui impugnata, debitamente preavvisata (cfr. supra consid. 1.2.). La ricorrente contesta lo statuto di casalinga al 100%, sostenendo che “ al momento dell’aggravamento della malattia (ottobre 2020) stavo svolgendo un’attività lavorativa e non ero casalinga al 100% ” e adducendo che senza il danno alla salute avrebbe proseguito con un’attività salariata (cfr. supra consid. 1.3.). 2.9.  Questo Giudice, chiamato a verificare se lo statuto della ricorrente sia stato correttamente determinato dall’Ufficio AI, dopo attenta analisi della documentazione agli atti non ha motivo per metterne in dubbio le conclusioni. Ciò per le ragioni in appresso. 2.9.1.  Come accennato (cfr. supra consid. 2.5.), per determinare il metodo di graduazione dell’invalidità si deve innanzitutto verificare se la persona esercitava o meno un’attività lucrativa immediatamente prima dell’insorgere dell’invalidità (cfr. infra consid. 2.9.1.1.). Quale secondo passo, occorrerà determinare se, valutato l’insieme delle circostanze del caso, in assenza del danno alla salute l’assicurata avrebbe esercitato o meno un’attività lavorativa (cfr. infra consid. 2.9.1.2.). 2.9.1.1.  L’Ufficio AI ha ritenuto l’invalidità (cfr. supra consid. 2.3.) insorta il 1. giugno 2021 , fondandosi sui rapporti SMR del 2 novembre 2022 e del 17 febbraio 2023 (cfr. supra consid. 1.1.), ritenendo irrilevanti i certificati del dr. __________ attestanti dei periodi d’incapacità lavorativa precedenti a tale data. A ragione. In effetti, i precedenti periodi d’incapacità lavorativa totale (16 dicembre 2019-7 gennaio 2020; 6-31 marzo 2020 e 19-31 ottobre 2020; doc. 1, pag. 4 e doc. 38 incarto AI; I, allegato A3), oltre ad essere di corta durata (sessantadue giorni complessivi), sono stati intervallati da notevoli interruzioni ai sensi dei combinati artt. 28 cpv. 1 lett. b LAI e 29 ter OAI, ossia interruzioni di (almeno) trenta giorni durante i quali l’assicurata presentava una capacità lavorativa del 100%. Tale circostanza comporta che i surriferiti periodi di incapacità lavorativa non possono essere considerati nel calcolo dell’anno d’attesa ex art. 28 cpv. 1 lett. b LAI, il quale ricomincia a decorrere con la successiva incapacità lavorativa senza notevole interruzione (Meyer/Reichmuth, op. cit., n. 35 e 37 ad art. 28 LAI). Ne consegue che a ragione l’amministrazione ha fissato al 1. giugno 2021 la data dell’insorgenza dell’invalidità. Dalla documentazione agli atti emerge che la ricorrente aveva lavorato quale custode per quattro ore a settimana dal 1. ottobre 2017 al 1. novembre 2020 (docc. 32 incarto AI; I, allegati A1, A6 e A7). Ne consegue che immediatamente prima dell’insorgenza dell’invalidità (1. giugno 2021) l’insorgente non svolgeva alcuna attività lucrativa da ormai sette mesi. 2.9.1.2.  Occorre ora verificare se, considerate tutte le circostanze del caso di specie, in assenza del danno alla salute l’assicurata avrebbe o meno esercitato un’attività lucrativa. Giova in tale contesto rammentare il principio della priorità della dichiarazione della prima ora, secondo cui in presenza di due versioni differenti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 8C_134/2016 del 15 giugno 2016 consid. 2.3., DTF 121 V 45 consid. 2a e STCA 32.2022.39 del 17 ottobre 2022 consid. 2.7.2.). Dal profilo della formazione, dopo la scuola dell’obbligo la ricorrente ha iniziato (2002) ed interrotto (2004) l’apprendistato in polimeccanica. Le sue conoscenze linguistiche sono limitate all’italiano (lingua madre) e a conoscenze di base del francese, sia scritto che orale. Anche le conoscenze in ambito informatico sono molto limitate (doc. 4, pag. 22, doc. 10, pag. 51 e seg. incarto AI). Dall’interruzione della formazione (2004) alla sua prima occupazione quale custode (1. ottobre 2017) sono intercorsi circa tredici anni, durante i quali ha generato prole (nel 2009 e nel 2014) che vive tutt’ora con lei (docc. 2 e 3, doc. 10, pag. 52 e doc. 9 incarto AI). Nel formulario della domanda di rendita del 23 aprile/2 maggio 2022, alla finca “5.5 Persone senza attività lucrativa, Descrizione del lavoro/funzione” la ricorrente ha indicato “ CASALINGA, MAMMA ” e alla finca “Osservazioni” che “ I certificati [medici, n.d.r.] sono di periodi in quanto non lavorando venivano solo fatti quando richiesti dall’ufficio assistenza ” (doc. 4, pagg. 23 e 25 incarto AI). Nel curriculum vitae dell’11 maggio 2022 la ricorrente ha crociato “NO (ero soddisfatto del mio lavoro)” alla domanda “Al fine di definire la pratica, necessitiamo sapere se negli ultimi 5 anni ha effettuato ricerche di lavoro […]” (doc. 10, pag. 54 incarto AI). Valutata la refertazione medico-assicurativa, il medico SMR ha osservato che “ Dopo gli studi [l’assicurata, n.d.r.] non ha svolto praticamente alcuna attività lavorativa. Ha lavorato un anno come aiuto domestico ed un altro anno come custode. Non ha mai dimostrato di voler ricercare un’attività professionale (come confermato nel CV). Si dichiara lei stessa casalinga. ” (doc. 13 incarto AI) e l’Ufficio AI ha conferito mandato per l’inchiesta domiciliare (doc. 18 incarto AI). In sede d’inchiesta domiciliare, il 26 gennaio 2023, alla domanda “se non fosse intervenuto il danno alla salute, l’assicurata eserciterebbe oggi un’attività lucrativa?” il consulente ha messo a verbale che “ L’assicurata riferisce che avrebbe svolto forse un’attività lavorativa a metà tempo e ricorda di aver inoltrato delle lettere presso alcune aziende per richiedere un impiego . All’incarto attualmente non risulta che siano state fatte ricerche di lavoro. L’assicurata si riserva di trovare le lettere che lo comprovino e in tal caso lo comunicherà all’Ufficio per sottoporre un eventuale differente pensum lavorativo. ” (doc. 20, pag. 105 incarto AI, sottolineature del redattore). Ora, si rileva che né nella procedura amministrativa, né in quella ricorsuale l’assicurata ha apportato prove delle ricerche di lavoro asseritamente effettuate, sicché quanto da lei addotto è rimasto allo stato di mero parlato. Peraltro, la spiegazione addotta a motivo della carenza probatoria (I: “[…] la mia situazione di madre single e la pandemia in corso non mi rendeva attrattiva agli occhi di un probabile datore di lavoro ”) non è neppure pertinente: non è infatti l’attrattività dell’assicurata sul mercato del lavoro a dover essere provata, ma l’asserita volontà di esercitare un’attività lucrativa a tempo parziale, ciò che non è avvenuto. Del resto, risulta ragionevolmente esigibile dall’assicurata chiedere conferma perlomeno della ricezione delle lettere di candidatura spontanea asseritamente inviate alle aziende. Con le osservazioni del 22 marzo 2023 al progetto di decisione del 24 febbraio 2023 (doc. 23 incarto AI) l’assicurata riferiva che “[…] io al momento dei certificati medici lavoravo come custode presso __________ che per motivi di salute ho dovuto lasciare prima della fine del contratto ” (doc. 26 incarto AI, sottolineature del redattore). Per i motivi in appresso, il periodo durante il quale l’insorgente ha lavorato presso l’ultima datrice di lavoro non risulta sufficiente, di per sé, per concludere che ella volesse, successivamente alla disdetta del rapporto di lavoro, intraprendere “ forse un’attività lavorativa a metà tempo ”. In primo luogo va nuovamente evidenziato che l’attività lavorativa precedente, svolta in misura molto limitata, configura un’eccezione nella vita della ricorrente. In secondo luogo, nel ponderare le circostanze atte ad accertare l’effettiva volontà della ricorrente, questo Giudice ritiene preponderante il fatto che ella non ha (provato di aver) effettuato alcuna ricerca di lavoro negli ultimi cinque anni ed in particolare dopo la fine dell’ultima attività lavorativa, circostanza che avrebbe potuto confortare quanto da lei addotto. Infine, la credibilità della dichiarazione resa in seconda battuta dall’insorgente è relativizzata dal fatto che dagli atti all’inserto non vi è alcuna menzione della situazione valetudinaria dell’insorgente quale motivo della disdetta del contratto di lavoro, anzi (doc. 32, pagg. 152 e 154 incarto AI; I allegato A1). Tutto bene considerato (cfr. supra consid. 2.5.), richiamato il surriferito principio della priorità della dichiarazione della prima ora e ricordato il margine d’apprezzamento delle prove di cui il giudice delle assicurazioni gode, questo Giudice ritiene con il grado probatorio della verosimiglianza preponderante che le circostanze addotte e la documentazione prodotta dalla ricorrente nel corso della procedura amministrativa e con il gravame non sono sufficienti a dimostrare che ella, in assenza del danno invalidante, avrebbe effettivamente voluto intraprendere un’attività lucrativa. Visto quanto precede, la valutazione dell’Ufficio AI che ha considerato l’assicurata casalinga al 100% al momento dell’insorgenza del danno invalidante, con conseguente applicazione del metodo specifico di graduazione dell’invalidità, va confermata. Pertanto, la censura dell’insorgente s’appalesa inconferente. 2.10.  La ricorrente non ha contestato le conclusioni dell’inchiesta economica del 26 gennaio 2023 e questo Giudice, ricordato il riserbo al quale deve attenersi nella valutazione di un’inchiesta economica per le persone che si occupano dell’economia domestica (STCA 32.2023.14 del 28 giugno 2023 consid. 2.9. con riferimenti), non ravvisa motivi per discostarsene. A titolo abbondanziale si rileva che anche se, per ipotesi di lavoro, si volesse considerarla salariata al 10% con un’incapacità lavorativa completa e casalinga al 90% con un impedimento del 27%, in applicazione del metodo misto per la graduazione dell’invalidità l’insorgente non raggiungerebbe in ogni caso un grado d’invalidità pensionabile (cfr. supra consid. 1.2. in fine). 2.11.  Visto tutto quanto precede, la decisione impugnata merita conferma mentre il ricorso va integralmente respinto. 2.12.  Secondo l'art. 69 cpv. 1bis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