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32.2023.54 vom 20. April 2023</w:t>
      </w:r>
    </w:p>
    <w:p>
      <w:r>
        <w:t>TI Tribunale d'appello, 2023-04-20, IT</w:t>
      </w:r>
    </w:p>
    <w:p>
      <w:r>
        <w:rPr>
          <w:b/>
        </w:rPr>
        <w:t xml:space="preserve">Quelle: </w:t>
      </w:r>
      <w:r>
        <w:t>https://mcp.opencaselaw.ch/entscheid/ti_gerichte_32.2023.54</w:t>
      </w:r>
    </w:p>
    <w:p>
      <w:r>
        <w:t>FR: TI_GERICHTE 32.2023.54 du 20 avril 2023</w:t>
      </w:r>
    </w:p>
    <w:p>
      <w:r>
        <w:t>IT: TI_GERICHTE 32.2023.54 del 20 aprile 2023</w:t>
      </w:r>
    </w:p>
    <w:p>
      <w:pPr>
        <w:pStyle w:val="Heading2"/>
      </w:pPr>
      <w:r>
        <w:t>Volltext</w:t>
      </w:r>
    </w:p>
    <w:p>
      <w:r>
        <w:t>Raccomandata</w:t>
      </w:r>
    </w:p>
    <w:p>
      <w:r>
        <w:t>Incarto n.32.2023.54</w:t>
      </w:r>
    </w:p>
    <w:p>
      <w:r>
        <w:t>cs</w:t>
      </w:r>
    </w:p>
    <w:p>
      <w:r>
        <w:t>Lugano</w:t>
      </w:r>
    </w:p>
    <w:p>
      <w:r>
        <w:t>21 agosto 2023</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Christian Steffen, vicecancelliere</w:t>
      </w:r>
    </w:p>
    <w:p>
      <w:r>
        <w:t>segretario:</w:t>
      </w:r>
    </w:p>
    <w:p>
      <w:r>
        <w:t>Gianluca Menghetti</w:t>
      </w:r>
    </w:p>
    <w:p>
      <w:r>
        <w:t>statuendo sul ricorso del 24 maggio 2023 di</w:t>
      </w:r>
    </w:p>
    <w:p>
      <w:r>
        <w:t>RI 1</w:t>
      </w:r>
    </w:p>
    <w:p>
      <w:r>
        <w:t>contro</w:t>
      </w:r>
    </w:p>
    <w:p>
      <w:r>
        <w:t>la decisione del 20 aprile 2023 emanata da</w:t>
      </w:r>
    </w:p>
    <w:p>
      <w:r>
        <w:t>Ufficio assicurazione invalidità,6501 Bellinzona</w:t>
      </w:r>
    </w:p>
    <w:p>
      <w:r>
        <w:t>in materia di assicurazione federale per l'invalidità</w:t>
      </w:r>
    </w:p>
    <w:p>
      <w:r>
        <w:t>ritenutoin fatto</w:t>
      </w:r>
    </w:p>
    <w:p>
      <w:r>
        <w:t>consideratoin diritto</w:t>
      </w:r>
    </w:p>
    <w:p>
      <w:r>
        <w:t>La procedura è stata applicata correttamente.</w:t>
      </w:r>
    </w:p>
    <w:p>
      <w:r>
        <w:t>Visto lesito del ricorso, le spese per complessivi fr. 500 sono poste a carico dellUfficio AI nella misura di fr. 100 e del ricorrente nella misura di fr. 400.</w:t>
      </w:r>
    </w:p>
    <w:p>
      <w:r>
        <w:t>Questultimo ha tuttavia chiestodi essere posto al beneficio dellassistenza giudiziaria.</w:t>
      </w:r>
    </w:p>
    <w:p>
      <w:r>
        <w:t>Visto l'esito della vertenza e il diritto a ripetibili, la richiesta di ammissione al gratuito patrocinio, relativa alla parte per la quale linsorgente è vincente in causa, è divenuta priva di oggetto (cfr. STF 9C_992/2012 del 27 marzo 2013 consid. 5; STF 8C_140/2007 del 21 aprile 2008 consid. 9.2.; STFA U 164/02 del 9 aprile 2003; DTF 124 V 310 consid. 6; STCA 38.2019.11 del 27 maggio 2019 consid. 2.9.).</w:t>
      </w:r>
    </w:p>
    <w:p>
      <w:r>
        <w:t>Per la parte del ricorso in cui è soccombente, il ricorrente può, invece, di principio essere posto al beneficio del gratuito patrocinio nel caso in cui adempia le relative condizioni (cfr. DTF 124 V 301 consid. 6).</w:t>
      </w:r>
    </w:p>
    <w:p>
      <w:r>
        <w:t>2.10.Ai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e 372 con riferimenti).</w:t>
      </w:r>
    </w:p>
    <w:p>
      <w:r>
        <w:t>Il diritto allassistenza giudiziaria comprende da un lato la liberazione dal pagamento delle tasse di giustizia e delle spese, dallaltro - nella misura in cui necessario - il diritto al gratuito patrocinio.</w:t>
      </w:r>
    </w:p>
    <w:p>
      <w:r>
        <w:t>Per questi motivi</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