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32.2023.53 vom 6. April 2023</w:t>
      </w:r>
    </w:p>
    <w:p>
      <w:r>
        <w:t>TI Tribunale d'appello, 2023-04-06, IT</w:t>
      </w:r>
    </w:p>
    <w:p>
      <w:r>
        <w:rPr>
          <w:b/>
        </w:rPr>
        <w:t xml:space="preserve">Quelle: </w:t>
      </w:r>
      <w:r>
        <w:t>https://mcp.opencaselaw.ch/entscheid/ti_gerichte_32.2023.53</w:t>
      </w:r>
    </w:p>
    <w:p>
      <w:r>
        <w:t>FR: TI_GERICHTE 32.2023.53 du 6 avril 2023</w:t>
      </w:r>
    </w:p>
    <w:p>
      <w:r>
        <w:t>IT: TI_GERICHTE 32.2023.53 del 6 aprile 2023</w:t>
      </w:r>
    </w:p>
    <w:p>
      <w:pPr>
        <w:pStyle w:val="Heading2"/>
      </w:pPr>
      <w:r>
        <w:t>Regeste</w:t>
      </w:r>
    </w:p>
    <w:p>
      <w:r>
        <w:t>Rifiuto prestazioni per carenza di invalidità pensionabile in applicazione del metodo misto. Ricorso accolto con rinvio atti per ulteriori accertamentni volti a stabilire se ed in che misura l'A. sia da considerare casalinga e/o salariata e quale sia il metodo applicabile</w:t>
      </w:r>
    </w:p>
    <w:p>
      <w:pPr>
        <w:pStyle w:val="Heading2"/>
      </w:pPr>
      <w:r>
        <w:t>Erwägungen</w:t>
      </w:r>
    </w:p>
    <w:p>
      <w:r>
        <w:rPr>
          <w:b/>
        </w:rPr>
        <w:t>E. 2</w:t>
      </w:r>
    </w:p>
    <w:p>
      <w:r>
        <w:t>Con ricorso del 10 maggio 2023 presentato al lodevole Tribunale cantonale delle assicurazioni (TCA) la signora RI 1 ha contestato la decisione. Nel dettaglio la ricorrente postula l'accoglimento del ricorso, l'annullamento della decisione ed il riconoscimento della rendita, indica uno stato di salute ulteriormente peggiorato e contesta il calcolo del grado d'invalidità eseguito e le quote-parti ritenute per l'attività salariata e le mansioni consuete. Al ricorso la signora RI 1 ha unito il certificato della Dr.ssa Med. __________ del 9 marzo 2023 e 15 maggio 2023 attestante una piena inabilità lavorativa per i lavori domestici dal 28 aprile 2023, il referto di __________ del 2 maggio 2023, il certificato della Dr.ssa Med. __________ del 24 marzo 2023, il referto del Centro di Senologia del 13 settembre 2022. La ricorrente ha prodotto, inoltre, la dichiarazione della __________ del 26 aprile 2023 di sua assunzione al 20% dal 1° dicembre 2019 al 31 gennaio 2022, indicando che, oltre la sua percentuale lavorativa, sostituiva la collega durante vacanza e malattia. Con ulteriore complemento del 22 maggio 2023 la signora RI 1 ha unito la dichiarazione già prodotta di __________ del 26 aprile 2023 e uno scritto di __________, __________ di __________, che certifica un'attività svolta dall'assicurata in media al 40% come consulente e capo gruppo dal 1° gennaio 2021 al 2 febbraio 2022, precisando nello scritto successivo che la stessa ha svolto un'attività in media del 35% nel 2021 e del 50% nel 2022.</w:t>
      </w:r>
    </w:p>
    <w:p>
      <w:r>
        <w:rPr>
          <w:b/>
        </w:rPr>
        <w:t>E. 2.4</w:t>
      </w:r>
    </w:p>
    <w:p>
      <w:r>
        <w:t>Giusta gli artt.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Stante l'esito de ricorso, le spese di procedura di fr. 500 sono poste a carico dell'Ufficio AI.</w:t>
      </w:r>
    </w:p>
    <w:p>
      <w:r>
        <w:rPr>
          <w:b/>
        </w:rPr>
        <w:t>E. 3</w:t>
      </w:r>
    </w:p>
    <w:p>
      <w:r>
        <w:t>In base alla nuova documentazione prodotta si osserva che la ricorrente non ha unicamente svolto l'attività presso la __________ al 20%, ma ha lavorato presso __________ per diversi anni. Alla luce di quanto espresso, considerata la necessità di istruire il caso per definire al meglio lo statuto da riconoscere e le percentuali da ritenere per l'attività di salariata e casalinga in caso di applicazione del metodo misto, aspetto rilevante nel caso in esame, lo scrivente UAI chiede al lodevole TCA il ritorno degli atti per procedere come indicato .” (doc. VIII) 1.4  Con scritto 16 giugno 2023 l’insorgente ha comunicato di aderire alla proposta dell’amministrazione.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2.2  Alla luce degli atti medici all’inserto, l’eventuale diritto alla rendita sorgendo successivamente al 1. gennaio 2022 (cfr. la refertazione medica agli atti, cfr. art. 28 cpv. 1 lett. b LAI), alla presente fattispecie tornano applicabili le disposizioni della LAI e della OAI in vigore da tale data a seguito della modifica denominata “Ulteriore sviluppo dell’AI” e che concerne (anche) il diritto alla rendita (cfr. RU2021 705).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w:t>
      </w:r>
    </w:p>
    <w:p>
      <w:r>
        <w:rPr>
          <w:b/>
        </w:rPr>
        <w:t>E. 8</w:t>
      </w:r>
    </w:p>
    <w:p>
      <w:r>
        <w:t>LPGA]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Per l’art. 29 cpv. 1 LAI i l diritto alla rendita nasce al più presto dopo sei mesi dalla data in cui l’assicurato ha rivendicato il diritto alle prestazioni conformemente all’art. 29 cpv. 1 LPGA. Nel caso in cui, invece, l’assicurato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 è stato dichiarato conforme alla legge (DTF 125 V 146). L’art. 27 bis OAI regola la valutazione del grado d’invalidità per gli assicurati che esercitano un’attività lucrativa a tempo parziale.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pp. 54-58 e 60-62 e Blanc, La procédure administrative en assurance-invalidité, 1999, p. 190). Questa valutazione deve ugualmente prendere in considerazione la volontà ipotetica dell’assicurato che, in quanto fat-to interno, deve essere in regola generale dedotta da indizi e-sterni (STF 9C_64/2012 dell’11 luglio 2012 consid. 5.2; STFA I 693/06 del 20 dicembre 2006, consid. 4.1). 2.3  Nel caso in disamina, alla luce degli atti all’inserto e delle considerazioni esposte dalle parti v’è da ritenere che, come precisato nella risposta di causa, onde addivenire ad un chiaro e completo giudizio sul diritto a prestazioni, la causa vada ulteriormente istruita. Ciò al fine di stabilire – in base ai criteri sopra ricordati (cfr. supra consid. 2.2) – quale sia effettivamente lo statuto dell’assicurata, ossia se ed in che misura essa sia da considerare salariata oppure casalinga e quale sia quindi il metodo applicabile al calcolo dell’invalidità (nel caso d’applicazione del metodo misto, quali siano le quote parti da attribuire alla parte salariata e a quella casalinga).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Nel caso concreto, considerato come gli accertamenti eseguiti dall’amministrazione paiono incompleti, si giustifica il rinvio degli atti affinché essa proceda nel senso sopra indicato. In esito al complemento istruttorio dovrà essere emessa, nel rispetto dei dettami dell’art. 57a LAI, una nuova decisione soggetta a ricorso ai sensi degli artt. 56 e segg. LPGA nel cui ambito l’assicurata potrà riproporre ogni censura di fatto e di diritto, sia in relazione alla valutazione medica che a quella economica.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