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 vom 13. Dezember 2022</w:t>
      </w:r>
    </w:p>
    <w:p>
      <w:r>
        <w:t>TI Tribunale d'appello, 2022-12-13, IT</w:t>
      </w:r>
    </w:p>
    <w:p>
      <w:r>
        <w:rPr>
          <w:b/>
        </w:rPr>
        <w:t xml:space="preserve">Quelle: </w:t>
      </w:r>
      <w:r>
        <w:t>https://mcp.opencaselaw.ch/entscheid/ti_gerichte_32.2023.5</w:t>
      </w:r>
    </w:p>
    <w:p>
      <w:r>
        <w:t>FR: TI_GERICHTE 32.2023.5 du 13 décembre 2022</w:t>
      </w:r>
    </w:p>
    <w:p>
      <w:r>
        <w:t>IT: TI_GERICHTE 32.2023.5 del 13 dicembre 2022</w:t>
      </w:r>
    </w:p>
    <w:p>
      <w:pPr>
        <w:pStyle w:val="Heading2"/>
      </w:pPr>
      <w:r>
        <w:t>Regeste</w:t>
      </w:r>
    </w:p>
    <w:p>
      <w:r>
        <w:t>Ricorso (respinto) contro decisione di non entrata in materia. Le refertazioni mediche presentate nella procedura amministrativa non rendono verosimile una modifica rilevante per il diritto alle prestazioni e quelle presentate con il ricorso sono tardive</w:t>
      </w:r>
    </w:p>
    <w:p>
      <w:pPr>
        <w:pStyle w:val="Heading2"/>
      </w:pPr>
      <w:r>
        <w:t>Erwägungen</w:t>
      </w:r>
    </w:p>
    <w:p>
      <w:r>
        <w:rPr>
          <w:b/>
        </w:rPr>
        <w:t>E. 12</w:t>
      </w:r>
    </w:p>
    <w:p>
      <w:r>
        <w:t>marzo 2012; STF 9C_807/2014 del 9 settembre 2015; STF 9C_585/2014 dell’8 settembre 2015). nel merito 2.2.  L’oggetto del contendere deve essere limitato alla questione a sapere se a ragione l’Ufficio AI non è entrato nel merito della nuova domanda di prestazioni. Infatti, se l’assicurata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 269 consid. 1a). 2.3. Giusta l ’art.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La giurisprudenza ha avuto modo di stabilire che l’art. 87 cpv. 3 OAI (già art. 87 cpv. 4 OAI) si applica per analogia anche alle prestazioni reintegrative. Se, quindi, una prestazione di reintegrazione è stata rifiutata, una nuova domanda potrà essere esaminata nel merito solo se l'assicurato rende verosimile una modifica rilevante della situazione di fatto tale da influire sul diritto a prestazioni (DTF 109 V 119 consid. 3a; Kieser, Verwaltungsverfahren in der Sozialversicherung, 1999, n. 1006 p. 185; DTF 109 V 262 consid. 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proposito, nella DTF 136 V 369 (ribadita nella STF 8C_378/2020 del 21 gennaio 2021 consid. 6.2.2.) il Tribunale federale ha stabilito che la forza di crescita in giudicato di decisioni (amministrative, su opposizione o su ricorso) relative a prestazioni ricorrenti (come le rendite AI, cfr. pro multis STF 9C_341/2017 del 27 settembre 2017 consid. 4.1.) nell’ambito delle assicurazioni sociali è di principio temporalmente illimitata, estendendosi sia ai presupposti del diritto alla specifica prestazione che ai fattori che ne determinano l’estensione (ad esempio dal profilo temporale), a condizione che essi si riferiscano a fattispecie conclusesi al momento della decisione. Riservati i casi di revisione processuale o riconsiderazione, gli elementi di motivazione della decisione cresciuta in giudicato non sono suscettibili di riesame nell’ambito di una nuova domanda, né vi si può rinvenire, a meno che non sussista un nuovo caso di assicurazione o la legge preveda altrimenti (consid. 3.1.1. e seg. con molteplici rinvii giurisprudenziali e dottrinali). Ciò comporta che se l’assicurato, pur rilevando (validi) motivi per opporsi, rispettivamente impugnare la decisione rimane passivo, tale omissione non potrà essere successivamente colmata, neppure appellandosi all’obbligo dell’amministrazione di procedere ad una valutazione completa “a tutto tondo” (ted. allseitige Prüfung ) (DTF 147 V 213 consid. 6.2.2.).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1985 p. 336; STFA del 29 aprile 1991 nella causa G.C., consid. 4). Nella DTF 130 V 64, il TFA ha precisato che nel caso in cui l'assicurato non ha reso verosimile un rilevante cambiamento, il principio inquisitorio, secondo 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Quanto precede è stato confermato anche nella recente STF 9C_576/2021 del 2 febbraio 2022 (consid. 3.2.). Va ancora rilevato che per quanto concerne i capoversi 2 e 3 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 DTF 109 V 114 consid. 2b, 123 consid. 3b e 264 consid. 3; STFA I 619/04 del 10 febbraio 2005, consid. 3.1; STF 8C_716/2011 del 5 gennaio 2012 consid. 2.3.; v. anche SVR 2003 IV n. 25 p. 76 ). 2.4.  Per costante giurisprudenza (STF 8C_901/2013 del 27 febbraio 2014 consid. 3.1.; STF 8C_457/2012 del 9 luglio 2012 consid. 3.1.; STFA I 734/05 dell’8 marzo 2006 consid. 2.2.1.; DTF 130 V 64 consid. 5.2.5.) nell’ambito di una nuova domanda di prestazioni, l’assicurato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 2.2.2. e 3.2.; DTF 130 V 64 consid. 3. e 6.1.; STCA 32.2020.77 del 9 novembre 2020 consid. 2.4. e seg.; Sentenza 720 14 172 / 202 del 21 agosto 2014 della Sezione di diritto delle assicurazioni sociali del Tribunale cantonale di Basilea Campagna, consid. 3.1 e seg.). 2.5.  Per quanto riguarda in particolare l’invalidità cagionata da un danno alla salute psichica, l’allora Tribunale federale delle assicurazioni, attuale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affermato nella DTF 137 V 64: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Con 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8C_650/2016 del 9 marzo 2017 consid. 5.1.3 = SVR 2017 IV Nr. 62;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2.6.  Nel caso che ci occupa, si rileva innanzitutto che le refertazioni mediche presentate dalla ricorrente con la seconda domanda di prestazioni – e meglio il referto peritale del dr. __________ del 19 agosto 2019, il rapporto medico del dr. __________ del 13 agosto 2020, la valutazione ambulatoriale ed elettroneuromiografia del 24 febbraio 2021 ed il controllo del 14 aprile 2021, il rapporto medico del dr. __________ del 28 agosto 2019, il rapporto medico del dr. __________ del 27 gennaio 2021 ed il rapporto del dr. __________ del 16 settembre 2020 (doc. 82, pagg. 318-351 incarto AI) – erano già state vagliate nell’ambito della prima domanda di prestazioni (doc. 42, pagg. 133-143 e pagg. 149-159; doc. 49, pagg. 169, 170, 227 e 228.; doc. 65, pagg. 265 e seg. incarto AI), come rettamente rilevato dal medico SMR (doc. 84 incarto AI) e ammesso dalla ricorrente medesima (doc. 98. pag. 486 incarto AI: “[…] i referti medici prodotti [con la nuova richiesta, n.d.r.] confermano una situazione di inabilità integrale al lavoro, tanto per le mansioni professionali, quanto per quelle di casalinga. Non si tratta di una modifica bensì di una attestazione inconfutabile del perdurare delle problematiche fisiche di cui soffre RI 1, le quali peraltro sono tuttora presenti. ”). Sulla base delle surriferite refertazioni, l’Ufficio AI aveva emanato la prima decisione con la quale aveva attribuito una rendita intera temporanea con grado d’invalidità del 100%, decisione cresciuta incontestata in giudicato (cfr. supra consid. 1.3.). Conseguentemente, in ragione di quanto precede ed applicando la suevocata giurisprudenza (cfr. supra consid. 2.3.) al caso di specie, questa Corte non può nuovamente chinarsi sugli elementi già valutati dall’amministrazione nell’ambito della prima domanda di prestazioni e che hanno determinato la decisione – cresciuta incontestata in giudicato – del 25 novembre 2021 con la quale l’Ufficio AI ha attribuito ad RI 1 una rendita limitata nel tempo (cfr. supra consid. 1.3.). Tali elementi non sono suscettibili di riesame nell’ambito della nuova domanda di prestazioni. Del resto, non si ravvisano motivi – e l’assicurata neppure ne adduce – che le avrebbero impedito di impugnare la prima decisione (STCA 32.2022.60 del 6 dicembre 2022 consid. 2.4.). Per quanto concerne la refertazione medica prodotta in sede di osservazioni al preavviso di non entrata in materia (doc. 98 incarto AI) e nuovamente con il ricorso (docc. E-H), la stessa – nella misura in cui, alla luce della suevocata giurisprudenza (cfr. consid. 2.4), possa essere presa in considerazione ancorché non presentata in occasione della nuova domanda del 5 maggio 2022 – non è tale da modificare l’esito del presente giudizio. Infatti, per quanto riguarda la lettera ambulatoriale del 7 agosto 2022 del dr. __________ (doc. 98, pag. 488 incarto AI; doc. E), trattasi di una semplice missiva indirizzata al collega dr. __________ con la quale ipotizza una problematica neurologica, ritenendo opportuno svolgere un nuovo esame neurologico. Egli non ha inoltre formulato una sua diagnosi e tantomeno accertato e motivato un’incapacità lavorativa. Di tutta evidenza, la missiva in parola non permette di concludere per una modifica rilevante (cfr. supra consid. 2.3.) dello stato valetudinario. Quo allo scritto del 19 agosto 2022 del dr. __________ (doc. 98, pag. 490 e seg.; doc. F), si rileva che alla voce “ Diagnosi ” non vi è una diagnosi ma bensì “ Dolori all’anca destra con debolezza dell’ileopsoas e dolore al gluteo medio, al quadrato dei lombi e al tensore fascia lata in esito di una caduta con contusione all’anca il 21.01.2019 ”, mentre alla voce “ Valutazione e Procedere ”, il medico si è così espresso: " La signora RI 1 è venuta in consultazione per questi cedimenti al ginocchio. Clinicamente nemmeno alla risonanza effettuata un anno fa non ha mostrato lesioni legamentose quindi i blocchi e i cedimenti possono essere dovuti ai dolori o ad un problema neurologico. La mancanza di flessione attiva dell’anca non è mai stata indagata chiedo quindi al Dr. __________ di convocare la paziente per approfondire questo aspetto. I problemi muscolari che presenta all’altezza dell’anca possono influenzare il fastidio a livello del ginocchio. Visto che gli approcci singoli non hanno portato un gran beneficio probabilmente si potrebbe pensare di organizzare una riabilitazione multidisciplinare ma causa della gestione famigliare con i bimbi non [sic!] è difficile. Comunque anche la signora RI 1 pensa che questa potrebbe essere un’opzione. Attualmente non ho previsto ulteriori controlli.”. Anche in questo caso, il suddetto rapporto non fornisce elementi che permettono di ipotizzare una modifica rilevante dello stato di salute. Medesimo discorso vale anche per lo scritto del 31 ottobre 2022 del dr. __________ (doc. 98, pag. 492 incarto AI; doc. G) che presenta il seguente tenore: " […] Anche l’esame del plesso risulta completamente normale e negativo anche a livello di ileo-psoas. Quindi riassumendo abbiamo un trauma di distensione secondo me a livello del plesso, un esame neurologico completamente normale, un esame anche di MRI che non mostra discontinuità del plesso ma secondo me questa sensazione che la paziente ha potrebbe essere legata a delle sequele dello stiramento del plesso. Bisogna cercare di spezzare il circolo vizioso, con dolore, difficoltà a mobilizzarsi, ulteriore rigidità, ipotrofia della muscolatura e così via per cui personalmente a questo punto si imposta un’adeguata fisioterapia per cercare di recuperare. […]”. Infine, la ricorrente, sostenendo un peggioramento della situazione valetudinaria dovuto ad un’affezione psichiatrica, si prevale del certificato del 29 novembre 2022 del dr. __________ (specialista in psichiatria e psicoterapia; doc. 98, pag. 494 incarto AI; doc. H), il quale ha constatato: " La sig.ra RI 1 è da me seguita dal 3 marzo 2022. Il trattamento si avvale di una doppia presa a carico, dove oltre allo scrivente viene altresì vista regolarmente dalla psicologa psicoterapeuta sig.ra __________. Per quanto mi concerne per le difficoltà osservate la paziente è da ritenersi inabile al lavoro in misura totale. A mio avviso anche la prognosi lavorativa a lungo termine potrebbe essere condizionata negativamente dai problemi psicofisici lamentati dalla paziente.”. A proposito di tale certificazione, questa Corte può far integralmente propria la presa di posizione del medico SMR dr.ssa __________ avvallata anche dal medico SMR dr. __________ (docc. 100 e 101 incarto AI): " Il Dr. __________ non pone una diagnosi ai sensi dell’ICD10, non descrive uno status psichiatrico, formula generiche difficoltà con incapacità lavorativa a suo avviso completa, ed asserisce genericamente che la prognosi potrebbe essere condizionata negativamente dai problemi psicofisici lamentati dalla paziente. Non definisce alcun limite funzionale. Si tratta di un apprezzamento del curante non suffragato da dati oggettivi […].”. In effetti, lo psichiatra curante non ha formulato alcuna diagnosi basata sui criteri posti da un sistema di classificazione riconosciuto scientificamente (cfr. supra consid. 2.4.), accertando vaghe difficoltà e neppure distinguendo tra incapacità lavorativa in attività abituale ed in attività adeguata. In sintesi, le refertazioni presentate in sede di osservazioni al progetto di decisione non rendono verosimile un rilevante cambiamento della situazione clinica e/o economica (per rapporto all’ultima valutazione effettuata dall’amministrazione) tale da influire sulla perdita di guadagno. Ne consegue che, richiamato l’art. 87 cpv. 2 OAI e la giurisprudenza topica (cfr. supra consid. 2.3.), è a ragione che l’Ufficio AI, sulla scorta delle annotazioni dei medici SMR (docc. 100 e 101 incarto AI), non è entrato nel merito dell’ultima domanda di prestazioni. 2.7.  Con il ricorso e nelle more della presente procedura l’insorgente, oltre ad allegare la refertazione medica di cui già si è detto (cfr. supra consid. 2.6.), ha formulato richiesta di audizione del dr. __________, del dr. __________, del dr. __________ e della psicologa e psicoterapeuta __________, chiedendo altresì l’assunzione agli atti della valutazione ambulatoriale del dr. __________ del 30 marzo 2023 (cfr. supra consid. 1.5. e 1.7. e 1.8.). Conformemente alla giurisprudenza federale (cfr. supra consid. 2.4.), la richiesta di assunzione dei suddetti nuovi mezzi di prova è da considerarsi tardiva, essendo stati prodotti, rispettivamente richiesti solo in sede di ricorso. Conseguentemente, il TCA non può determinarsi sugli stessi in questa sede, ciò che non preclude alla ricorrente la possibilità di ripresentarli nell’ambito di una (ulteriore) nuova domanda di prestazioni. 2.8.  Visto tutto quanto precede, la decisione impugnata merita conferma mentre il ricorso va respinto. 2.9.  Come accennato (cfr. supra consid. 1.5.), la ricorrente chiede di essere posta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per i motivi suesposti il presente ricorso appariva sin dall’inizio destinato all'insuccesso.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