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32.2023.32 vom 15. Februar 2023</w:t>
      </w:r>
    </w:p>
    <w:p>
      <w:r>
        <w:t>TI Tribunale d'appello, 2023-02-15, IT</w:t>
      </w:r>
    </w:p>
    <w:p>
      <w:r>
        <w:rPr>
          <w:b/>
        </w:rPr>
        <w:t xml:space="preserve">Quelle: </w:t>
      </w:r>
      <w:r>
        <w:t>https://mcp.opencaselaw.ch/entscheid/ti_gerichte_32.2023.32</w:t>
      </w:r>
    </w:p>
    <w:p>
      <w:r>
        <w:t>FR: TI_GERICHTE 32.2023.32 du 15 février 2023</w:t>
      </w:r>
    </w:p>
    <w:p>
      <w:r>
        <w:t>IT: TI_GERICHTE 32.2023.32 del 15 febbraio 2023</w:t>
      </w:r>
    </w:p>
    <w:p>
      <w:pPr>
        <w:pStyle w:val="Heading2"/>
      </w:pPr>
      <w:r>
        <w:t>Regeste</w:t>
      </w:r>
    </w:p>
    <w:p>
      <w:r>
        <w:t>Ricorso (respinto) contro decisione UAI conferente ¼ di rendita. Trattati momento nascita diritto rendita (domanda tardiva), revisione processuale e riconsiderazione, periodo contributivo, scala rendita applicabile, ammontare nominale rendita. Borse di studio non sono, di principio, assoggettate AVS</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(seconda) domanda (cfr. supra consid. 1.2.) l’assicurato non beneficiava di una rendita AI (cfr. supra consid. 1.1.). La domanda di prestazioni è stata presentata nel febbraio 2022 a fronte di un grado d’invalidità del 100% dal 1. dicembre 2018 (cfr. supra consid. 1.3.), ragione per cui la domanda era tardiva ai sensi dell’art. 29 cpv. 1 LAI. Ne consegue che il diritto alla rendita d’invalidità è nato al più presto il 1. agosto 2022 (per il calcolo del termine di carenza di sei mesi vedasi STF 8C_38/2017 del 10 marzo 2018 consid. 3.2.2., 8C_544/2016 e 8C_568/2016 del 28 novembre 2016, STCA 32.2022.80 del 7 febbraio 2023 consid. 2.2.; CIRAI, cifra 2223) con versamento da tale data (art. 29 cpv. 3 LAI; Meyer/Reichmuth, Rechtsprechung des Bundesgerichts zum Bundesgesetz über die Invalidenversicherung IVG, in: RBS 2023, n. 18 ad art. 29 LAI). È dunque a giusta ragione che l’Ufficio AI ha fissato la decorrenza della rendita a far tempo dal 1. agosto 2022 e non – come auspicato dal ricorrente (cfr. supra consid. 1.3. e 1.5.) – prima (cfr. infra consid. 2.3. e 2.6.2.). Visto quanto precede, nel caso concreto è applicabile il diritto in vigore dal 1. gennaio 2022.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w:t>
      </w:r>
    </w:p>
    <w:p>
      <w:r>
        <w:rPr>
          <w:b/>
        </w:rPr>
        <w:t>E. 1.3</w:t>
      </w:r>
    </w:p>
    <w:p>
      <w:r>
        <w:t>e 2.6.1.), il ricorrente contesta l’ammontare della rendita, sostenendo che devono essere computati anche i periodi durante i quali egli ha lavorato in Svizzera e all’estero come ricercatore (tramite borse di studio) e nell’ambito di un perfezionamento/riqualifica professionale durante il quale era a beneficio di prestazioni LADI, circostanze che comporterebbero l’applicazione di una scala di rendite superiore a quella applicata (37). 2.7.1.  Secondo l’art. 36 cpv. 1 LAI hanno diritto ad una rendita ordinaria gli assicurati che, all’insorgere dell’invalidità hanno pagato i contributi per almeno tre anni. Il cpv. 2 prevede che le disposizioni della LAVS si applicano per analogia al calcolo delle rendite ordinarie e che il Consiglio federale può emanare prescrizioni completive. Le rendite sono determinate sulla base del periodo di contribuzione e del reddito annuo medio. 2.7.2. Periodo di contribuzione/scala di rendita Secondo l’art. 29 cpv. 2 LAVS, le rendite ordinarie sono assegnate in forma di a) rendite complete agli assicurati che hanno un periodo di contributo completo; b) rendite parziali agli assicurati che hanno un periodo di contributo incompleto.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A seconda che l'assicurato abbia pagato sempre e regolarmente i contributi dovuti oppure che il suo periodo di contribuzione presenti delle lacune contributive, egli ha diritto ad una rendita completa o parziale (art. 29 cpv. 2 lett. a. e b. LAVS), vale a dire ad una rendita calcolata sulla base della scala 44 (rendita completa) o di una scala inferiore (rendita parziale; art. 52 OAVS e 32 OAI).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cpv. 3 LAVS, ha versato almeno il doppio del contributo minimo (lett. b.); -  possono essere computati accrediti per compiti educativi o d’assistenza (lett. c.). Infine, secondo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 ter cpv. 2 lettere b e c LAVS. 2.7.3.  Inoltre, la rendita è calcolata in base al reddito annuo medio (RAM) dell'assicurato (art. 29 quater LAVS). Esso si compone: -  dei redditi risultanti da un’attività lucrativa (lett. a.); -  degli accrediti per compiti educativi (lett. b.); - degli accrediti per compiti assistenziali (lett. c.). Il reddito annuo medio è determinato sommando i redditi da attività lucrativa rivalutati e gli accrediti per compiti educativi e assistenziali e divisi per il numero di anni di contribuzione (art. 30 cpv. 2 LAVS). La somma dei redditi dell’attività lucrativa deve essere rivalutata secondo il fattore di cui all'art. 51 bis cpv. 1 OAVS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LAVS, art. 51 bis OAVS) e varia a seconda della prima registrazione sul conto individuale determinante per la rendita.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cpv.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ed f OAVS).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Per gli anni in cui il proprio coniuge non era assicurato presso l’assicurazione per la vecchiaia e per i superstiti svizzera, al genitore assicurato è attribuito l’accredito intero per compiti educativi (art. 52f cpv. 4 OAVS). Se una persona è assicurata soltanto durante determinati mesi, si addizionano questi mesi oltre l’anno civile. Un accredito per compiti educativi è concesso per dodici mesi (art. 52f cpv. 4 OAVS). 2.7.4.  In concreto, è incontestato che il periodo contributivo completo per la classe d’età dell’assicurato (nato nel 1970) è di 28 anni (arrotondati, DTF 107 V 7 consid. 3a), corrispondente all’intervallo dal 1. gennaio 1991 al 31 dicembre 2018 (cfr. supra consid. 2.7.2.). L’assicurato, nato a __________ ed entrato in Svizzera con il matrimonio durante il mese di febbraio 1996, presenta un periodo di contribuzione complessivo (in Svizzera) di 23 anni e 1 mese , così composto: - contributi pagati come persona senza attività lucrativa da marzo a dicembre 1996 per un totale di 10 mesi (doc. 11-2/7 incarto Cassa); - contributi pagati quale beneficiario d’indennità disoccupazione nel 2002, 2003, 2008 e 2009 per un totale di 4 anni (docc. 11-2/7, 11-4/7, 11-6/7 e 24-2/7 incarto Cassa); - periodi assicurati quali anni di matrimonio tramite la moglie (la quale ha versato almeno il doppio del contributo minimo) per febbraio 1996, dal 1997 al 2001, dal 2004 al 2007 e dal 2010 al 2018 per un totale di 18 anni e 1 mese (docc. 11-5/7 e 24-4/7 e seg. incarto Cassa); - computazione di 2 mesi tra il 31 dicembre precedente l’insorgere dell’invalidità e la nascita del diritto alla rendita conformemente all’art. 52c OAVS (docc. 11-6/7, 24-6/7 e 32-2/3 incarto Cassa). Ne consegue che l’insorgente non presenta lacune contributive da quando è entrato in Svizzera (febbraio 1996) al 31 dicembre 2018. Ciò significa che anche se egli avesse avuto altre attività che non sono state tenute in considerazione, tale circostanza non modificherebbe in ogni caso il periodo contributivo in Svizzera da considerare. Siccome il periodo contributivo completo per la sua classe d’età è di 28 anni e presentando l’insorgente un periodo di contribuzione di 23 anni e 1 mese, egli ha diritto ad una rendita parziale, ossia ad una rendita determinata sulla base di una scala di rendite inferiore a quella massima (44). A questo proposito, la Cassa ha ritenuto che “ Il rapporto tra gli anni contributivi effettivamente assolti e quelli previsti dalla classe di età determina poi l’applicazione della scala parziale 37 ”. Da parte sua, il ricorrente censura l’applicazione della scala di rendita 37, sostenendo che negli intervalli che per la Cassa costituiscono periodi di lacuna contributiva (dal 1997 al 2001, dal 2004 al 2007 e dal 2010 al 2018) egli fosse attivo in Italia ed in Svizzera quale ricercatore tramite delle borse di studio, rispettivamente di aver svolto una riqualifica professionale per la quale beneficiava di prestazioni LADI. Ora, come illustrato dalla Cassa (XII/1A) e come si desume dalla documentazione all’inserto (XII/2), i periodi durante i quali il ricorrente ha beneficiato di indennità di disoccupazione sono stati già considerati – nella misura di quattro anni – nel periodo contributivo. Riguardo agli eventuali periodi contributivi in Italia, si rileva che i periodi assicurativi esteri non vanno considerati nel calcolo di una rendita svizzera (cfr. ad esempio DTF 130 V 51; STCA 32.2022.55 del 10 ottobre 2022 consid. 2.7. con molteplici rinvii giurisprudenziali). Siccome l’insorgente non presenta lacune contributive dal suo arrivo in Svizzera nel febbraio 1996 al 31 dicembre 2018, le borse di studio non possono influenzare il periodo di contribuzione. A proposito delle borse di studio, l’art. 6 cpv. 2 lett. g OAVS prevede che non sono considerate reddito proveniente da un’attività lucrativa le prestazioni per la formazione e il perfezionamento; se versate dal datore di lavoro, sono tuttavia escluse dal reddito da attività lucrativa soltanto se la formazione o il perfezionamento sono strettamente legati all’attività professionale del beneficiario. Le borse di studio e simili prestazioni non sono assoggettate all’AVS se, cumulativamente, non sono riconducibili ad un rapporto di lavoro e l’elargitore non può influenzare il risultato lavorativo. Il citato disposto non permette di differenziare tra prestazioni elargite per un perfezionamento professionale e quelle elargite per la ricerca scientifica (DTF 133 V 297 consid. 2.; Kieser, Rechtsprechung des Bundesgerichts zum AHVG, in: RBS 2020, pag. 138 con rinvii giurisprudenziali). In concreto dagli atti all’inserto, e meglio dallo scritto del 3 febbraio 2023 dell’avv. RA 1 alla Cassa, emerge che le borse di studio, per ammissione dell’assicurato medesimo, sono state elargite a fondo perso e non da datori di lavoro: “ Il sig. RI 1 nei periodi 1997-2001, 2004-2007 e 2010-2018 è sempre rimasto domiciliato in Svizzera e non ha svolto attività lucrative all’estero alle dipendenze di un datore di lavoro estero. Ciò non di meno, va precisato che il sig. RI 1 in alcuni dei lassi di tempo da voi indicati ha svolto attività quale ricercatore all’estero (Italia) senza percepire uno stipendio dagli istituti esteri, ricevendo però dei contributi/indennità tramite delle borse di studio . […]” (doc. 22-1/9 incarto Cassa, sottolineature del redattore). Ne consegue che, conformemente all’art. 6 cpv. 2 lett. g OAVS e alla surriferita giurisprudenza, le borse di studio di cui l’insorgente ha asseritamente beneficiato non sono in concreto assoggettate all’AVS, ragione per cui esse non influenzano neppure il calcolo dell’importo del reddito annuo medio. Visto quanto precede, questa Corte non ravvisa alcun motivo per scostarsi dalla scala di rendita 37 applicata, correttamente (cfr. Tabelle delle rendite 2023, edite dall’UFAS, valide dal 1. gennaio 2023, pagg. 8 e 12, reperibili in tedesco ed in francese su www.sozialversicherungen.admin.ch/de/f/5622), dalla Cassa. Siccome la contestazione dell’ammontare nominale della rendita AI si basava esclusivamente sulla contestata applicazione della scala di rendita 37, quanto segue è a puro titolo abbondanziale. Il TCA può far propria l’esaustiva e corretta presa di posizione della Cassa allegata alla risposta di causa: " [Per quanto attiene al reddito annuo medio, n.d.r.] La Somma dei redditi, estrapolata dal conto individuale […], ammonta a fr. 56'050. Questo importo va rivalutato in funzione dell’indice previsto per l’adeguamento delle rendite all’evoluzione dei prezzi e dei salari di cui all’art. 33 ter LAVS (art. 30 cpv. 1 LAVS) e diviso per gli anni di contribuzione. Il fattore di rivalutazione è stabilito dall’[…] UFAS secondo le modalità di calcolo contenute nell’art. 51 bis OAVS e varia a seconda della prima registrazione sul conto individuale determinante per la rendita. Nel presente caso, la prima registrazione determinante […] è avvenuta nel 1996 e il fattore di rivalutazione risulta essere così 1.000. L’importo rivalutato va poi diviso per il periodo effettivo di contribuzione [22 anni e 11 mesi, n.d.r.]. Non avendo avuto figli […] non sono stati computati accrediti per compiti educativi. Il reddito annuo medio […] della rendita […] corrisponde […] a fr. 2'844.00 (56'050.00 x 1.000 : 22 anni e 11 mesi = 2'446.00, arrotondato all’importo immediatamente superiore secondo le tabelle UFAS). A seguito dell’adeguamento all’evoluzione dei prezzi e dei salari, dal 1. gennaio 2023 […] è stato rivalutato a fr. 2'940.00. Tenuto conto di un reddito annuo medio di fr. 2'940.00 […], nonché di una scala di rendita 37, con l’ausilio delle tabelle UFAS, l’assicurato è stato posto al diritto di una rendita intera pari a fr. 1'030.00 mensili (stato 2023). In conclusione, gli importi assegnati con le contestate decisioni risultano così corretti.” (XII/1A, sottolineatura del redattore) La decisione impugnata va di conseguenza confermata. 2.8.  Come accennato (cfr. supra consid. 1.8.), il ricorrente ha richiesto l’assunzione di diversi mezzi di prova. Siccome i fatti alla base della presente vertenza sono stati sufficientemente provati tramite la documentazione prodotta dalle parti, il TCA rinuncia all’assunzione di ulteriori mezzi di prova. Infatti, da una parte l’incarto AI è stato prodotto dall’amministrazione in questa sede e, dall’altra, il ricorrente non ha neppure illustrato i motivi per giustificare il richiamo di tutte le sue pregresse vertenze giudiziarie ed amministrative, disattendendo manifestamente il dovere di collaborazione delle parti (cfr. supra consid. 2.6.2.). Inoltre, si rileva che nell’incarto AI sono già presenti le “ procedure giudiziarie relative al sig. RI 1 relative alle pregresse contestazioni di decisioni dell’Ufficio AI sempre con riguardo alle richieste di concessione di una rendita AI ”.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2.9. Secondo l'art. 69 cpv. 1 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 ricorso, le spese per complessivi fr. 500 sono poste a carico del ricorrente.</w:t>
      </w:r>
    </w:p>
    <w:p>
      <w:r>
        <w:rPr>
          <w:b/>
        </w:rPr>
        <w:t>E. 4</w:t>
      </w:r>
    </w:p>
    <w:p>
      <w:r>
        <w:t>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L’art. 29 cpv. 1 LAI stabilische che il diritto alla rendita nasce al più presto dopo sei mesi dalla data in cui l’assicurato ha rivendicato il diritto alle prestazioni conformemente all’art. 29 cpv. 1 LPGA, ma al più presto a partire dal mese seguente il compimento dei 18 anni. Il termine di carenza di sei mesi configura un presupposto formale che non va confuso con l’anno d’attesa ex art. 28 cpv. 1 lett. b LAI, quest’ultimo essendo un presupposto materiale (STF 8C_544/2016 del 28 novembre 2016 consid. 4.1. con rinvii giurisprudenziali). L’Ufficio AI non è dunque tenuto a verificare il diritto alla rendita per il periodo precedente alla domanda di prestazioni e per i sei mesi successivi (STF 9C_661/2017 del 19 gennaio 2018 consid. 5.1. con rinvio giurisprudenziale). Se un assicurato si annuncia più di sei mesi dopo l’inizio dell’incapacità lavorativa, rispettivamente dell’inizio dell’anno d’attesa ex art. 28 cpv. 1 lett. b LAI, la domanda è tardiva e l’assicurato perde il diritto alla rendita per ogni mese di ritardo (CIRAI, cifra 2223 con esempio). Il cpv. 2 dell’art. 29 LAI prevede che fintanto che l’assicurato può pretendere un’indennità giornaliera ai sensi dell’art. 22 LAI, il diritto alla rendita non nasce. Il cpv. 3 dell’art. 29 LAI sancisce che la rendita è versata dall’inizio del mese in cui nasce il diritto. Infine, il cpv. 4 dell’art. 29 LAI prevede che le rendite corrispondenti a un grado d’invalidità inferiore al 50 percento sono versate solo agli assicurati che sono domiciliati e dimorano abitualmente (art. 13 LPGA) in Svizzera. Questo presupposto deve essere adempiuto anche dai congiunti per i quali è chiesta una prestazione. (Su questi aspetti cfr. Gerber, Kommentar zum schweizerischen Sozialversicherungsrecht IVG, 2022, n. 12-54 ad art. 29 LAI; Meyer/Reichmuth, Rechtsprechung des Bundesgerichts zum Bundesgesetz über die Invalidenversicherung, in: RBS 2023, pagg. 395-402; Valterio, Commentaire - Loi fédérale sur l’assurance-invalidité (LAI), 2018, n. 1-13 ad art. 29 LAI)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due sentenze appena citate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successivamente costantemente confermato la giurisprudenza di cui alle DTF 143 V 409 e 143 V 418 (cfr. ad esempio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A proposito del ruolo del medico SMR, va rammentato che per l’art. 59 cpv. 2 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Nel caso concreto, in occasione della seconda domanda di prestazioni presentata nel febbraio 2022 (cfr. supra consid. 1.2.), il medico SMR ha accertato un’incapacità lavorativa completa dell’assicurato in ogni attività a far tempo dal dicembre 2018, ossia dalle visite psichiatriche effettuate dal dr. __________ e dalla dr.ssa __________ (entrambi specialisti in psichiatria e psicoterapia) dell’__________ (doc. 142, pag. 720 e segg.). Sulla scorta di tali accertamenti l’Ufficio AI ha stabilito un grado d’invalidità del 40% dal 1. febbraio 2019 (inizio dell’incapacità lavorativa media di almeno il 40%, determinata retrospettivamente come da tabella doc. 161, pag. 914 incarto AI) ed un grado d’invalidità del 100% dal 1. maggio 2019 (ossia tre mesi dopo il peggioramento dello stato valetudinario, art. 88a cpv. 2 OAI; per il calcolo dei mesi vedasi ad esempio la STF 9C_996/2010 del 5 maggio 2011 consid. 8.). Trattandosi, di una domanda tardiva (cfr. supra consid. 2.1. e 2.3.), il diritto alla rendita ed al suo versamento è nato il 1. agosto 2022. Il ricorrente contesta la valutazione medica del SMR, ritenendo “ alquanto verosimile ” che le affezioni psichiatriche fossero presenti già al momento della presentazione della prima domanda di rendita, ragione per cui il diritto alla rendita sarebbe nato prima di quanto determinato dall’Ufficio AI. Questo Tribunale, chiamato a verificare se lo stato di salute del ricorrente sia stato accuratamente vagliato dal medico SMR prima dell’emanazione della decisione impugnata, dopo attenta analisi della documentazione medica agli atti, non ha motivo per metterne in dubbio le conclusioni. 2.6.2.  L’insorgente sostiene che “ la presenza delle problematiche di natura psichiatrica […] risalgono […] a pochi mesi dopo la prima decisione negativa (9.5.2018) […]. Visto l’istoriato medico/sanitario […] appare alquanto verosimile che tali problematiche fossero già presenti al momento della presentazione della domanda AI sfociata con la citata decisione del 9.5.2018. ” (I, pag. 4).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riferimento). Nel caso concreto il ricorrente si è limitato ad un rinvio generico alla documentazione agli atti e, quindi, disattendendo il dovere di collaborazione, circostanza che comporta le suevocate conseguenze. I certificati medici prodotti con le osservazioni (non ratificate dal curatore) al progetto di decisione qui impugnata (doc. 169 e allegati incarto AI) sono irrilevanti, giacché non vi sono indicazioni sulla capacità lavorativa, né sulla durata della stessa. Inoltre, il medico SMR ha già accertato un’incapacità lavorativa completa in ogni attività dal 1. dicembre 2018. Comunque anche se, per ipotesi di lavoro, si volesse seguire la tesi del ricorrente, essa risulta in ultima analisi irrilevante riguardo al diritto alla rendita: trattandosi di una domanda tardiva ai sensi dell’art. 29 cpv. 1 LAI, il diritto ad una rendita sarebbe in casu nato al più presto il 1. agosto 2022 e non prima (cfr. supra consid. 2.1. e 2.3.). 2.6.3.  Sempre sostenendo che l’affezione psichiatrica fosse presente già al momento della prima domanda di prestazioni, il ricorrente chiede la riconsiderazione ex art. 53 cpv. 2 LPGA della decisione del 9 maggio 2018 cresciuta in giudicato (cfr. supra consid. 1.1.), censurando il fatto che l’Ufficio AI non gli abbia comunicato il motivo per cui non intende procedere con una riconsiderazione, circostanza, quest’ultima, che configurerebbe una violazione del diritto di essere sentiti (I, pag. 5). 2.6.3.1.  Prima di valutare la fondatezza della domanda di riconsiderazione, occorre verificare se in concreto vi sono gli estremi per procedere ad una revisione processuale. 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La nozione di fatti o mezzi di prova nuovi è valutata allo stesso modo sia che si tratti di una revisione processuale di una decisione amministrativa (art. 53 cpv. 1 LPGA), sia che si tratti di revisione di una pronunzia cantonale (art. 61 lett. i LPGA) o di una revisione di una decisione del Tribunale federale (art. 123 cpv. 2 lett. a LTF) (STF 9C_457/2022 del 3 aprile 2023 consid. 3.1. e STF C 223/06 del 16 gennaio 2008 consid. 3.2.; Flückiger, BSK-ATSG, n. 21 ad art. 53 LPGA). Un fatto è considerato nuovo se si realizza allorquando nella procedura principale erano ancora ammissibili delle allegazioni di fatto, ma esso non era noto al richiedente malgrado tutta la sua diligenza: trattasi di pseudonova (STF 9C_21/2019 del 10 aprile 2019 consid. 3. e DTF 144 V 245 consid. 5.2.). Non è inoltre necessario che i nuovi fatti fossero sconosciuti a tutte le parti: è sufficiente che il richiedente non li conoscesse (STF 8C_658/2017 del 23 febbraio 2018 consid. 5.1.). Un nuovo fatto è considerato rilevante se è di natura tale da modificare la fattispecie alla base della decisione contestata e a condurre ad un giudizio diverso in funzione di un apprezzamento giuridico corretto a favore o a sfavore del richiedente (DTF 144 V 245 consid. 5.2.; STF 8C_720/2009 consid. 5.1. e seg.). Per contro, non sono considerati nuovi i fatti che al momento della decisione sono stati trascurati o che conducono semplicemente ad un nuovo apprezzamento di fatti conosciuti: è infatti necessario che l’errato apprezzamento che ha condotto all’errata decisione sia stato causato proprio dalla mancata conoscenza del fatto (Flückiger, op. cit., n. 21 e 23 ad art. 53 LPGA con riferimenti). Circa i nuovi mezzi di prova, il Tribunale federale ha sancito che essi assurgono a motivo di revisione solo se dimostrano in modo chiaro (ted. eindeutig oder mit überlegenen Gründen ) l’errore della precedente decisione (STF 8C_797/2011 del 15 febbraio 2012 consid. 5.2. con riferimenti). Decisivo è che il mezzo di prova non serva solo ad un (diverso) apprezzamento della fattispecie ma alla sua ricostruzione (STF 197/2020 dell’11 maggio 2020 consid. 3.2.; STF 9C_682/2017 del 6 settembre 2018 consid. 4.3.1. con rinvii giurisprudenziali). Sono necessari nuovi elementi fattuali in grado di dimostrare che la decisione resa era oggettivamente viziata. Una prova è quindi considerata concludente se idonea a modificare la precedente decisione (STF 9F_14/2010 del 16 marzo 2011 consid. 3.1.). I mezzi di prova sono considerati nuovi se al momento dell’emanazione della decisione da sottoporre a revisione erano già esistenti ma chi li produce dimostra di non essere stato in grado di invocarli in quella procedura pur esercitando tutta la sua diligenza (STFA H 223/06 del 17 gennaio 2008 consid. 4.1. con rinvii giurisprudenziali e dottrinali). Nuovi sono anche i mezzi di prova (come ad esempio una perizia) allestiti successivamente alla decisione di cui si chiede la revisione (Flückiger, op. cit., n. 26 ad art. 53 LPGA). Nel valutare se si è in presenza di un nuovo mezzo di prova va applicato un rigore accresciuto, atteso che la revisione, quale rimedio giuridico straordinario, non ha quale scopo quello di colmare leggerezze procedurali successivamente all’emanazione della decisione di cui si chiede la revisione (STF 8C_197/2013 del 28 maggio 2013 consid. 2.2. e 8C_523/2012 del 7 novembre 2012 consid. 3.3.1. con molteplici rinvii giurisprudenziali). La revisione processuale può essere iniziata d’ufficio o su richiesta e l’assicuratore non dispone di un margine d’apprezzamento, nel senso che esso deve procedere in tal senso non appena viene a conoscenza di nuovi fatti rilevanti o di nuovi mezzi di prova, a prescindere dal fatto che vi sia stata un’esplicita richiesta di revisione (Flückiger, op. cit., n. 39 ad art. 53 LPGA con rinvii dottrinali; Kieser, Kommentar zum Bundesgesetz über den Allgemeinen Teil des Sozialversicherungsrechts ATSG, 2020, n. 36 ad art. 53 LPGA). Per costante giurisprudenza, i fatti nuovi e nuovi mezzi di prova devono essere fatti valere, di principio, entro novanta giorni dalla loro scoperta (termine relativo), rispettivamente entro dieci anni dalla notifica della decisione (termine assoluto); trattasi di termini di perenzione. Il termine di novanta giorni inizia a decorrere con la conoscenza certa del fatto nuovo o del nuovo mezzo di prova secondo il principio della buona fede ed è salvaguardato se il richiedente presenta una richiesta di revisione processuale o se l’assicuratore emana una decisione entro tale termine (nell’assicurazione invalidità è sufficiente il preavviso) (STF 9C_457/2022 del 3 aprile 2023 consid. 3.2. e seg.; Forster, Rechtsprechung des Bundesgerichts zum Sozialversicherungsrechts, in: RBS 2021, n. 14 e 16 ad art. 53 LPGA; Flückiger, op. cit., n. 47-54 ad art. 53 LPGA; Kieser, op. cit., n. 39 ad art. 53 LPGA e Mächler, Kommentar zum Bundesgesetz über das Verwaltungsverfahren, n. 1 e seg. ad art. 67 PA). Tornando al caso che ci occupa, occorre verificare se la perizia psichiatrica del 21 dicembre 2019 (cfr. supra consid. 2.6.1.) configura un nuovo mezzo di prova ai sensi dell’art. 53 cpv. 1 LPGA. Si rileva innanzitutto che agli atti non vi è alcuna documentazione attestante affezioni psichiatriche antecedenti alla prima domanda di prestazioni. Accertato ciò, nell’ambito della prima domanda di prestazioni (cfr. supra consid. 1.1.) l’assicurato è stato sottoposto ad una perizia pluridisciplinare presso __________ di __________, estesa ad un consulto psichiatrico effettuato dal dr. __________ (specialista in psichiatria a psicoterapia (docc. 43-45 incarto AI) e confluita nel rapporto peritale del 22 febbraio 2018 (doc. 50 incarto AI). Il citato psichiatra, dopo aver visitato personalmente l’assicurato il 17 ed il 31 gennaio 2018, esperiti l’anamnesi e l’esame psichico, ha concluso che in quel momento l’assicurato non presentava alcuna affezione psichiatrica, rilevando che “ l’impatto delle due aggressioni subite nel 2015 e nel 2016, pur non avendolo apparentemente destabilizzato emotivamente, lo ha lasciato però certamente alquanto amareggiato e scosso […]” (doc. 50, pag. 150-157 incarto AI). Le conclusioni del dr. __________ sono state vagliate e fatte proprie dai periti del __________ (doc. 50, pagg. 135, 136, 138, 139 e 145 incarto AI). Anche l’assicurato condivideva tali conclusioni (doc. 50, pagg. 139 e 152 incarto AI: “ L’A. nega di accusare dei disturbi a carico della sfera psicologica e mentale ”). Il rapporto peritale è stato inoltre fatto proprio dal medico SMR (doc. 51 incarto AI). Con decisione del 14 novembre 2018 l’Autorità Regionale di Protezione ha ordinato l’allestimento di una perizia psichiatrica per il tramite del Servizio __________ di __________ “ atta a determinare il disturbo di cui [l’assicurato curatelato, n.d.r . ] soffre e a stabilire quali eventuali misure di cura medica e di sostegno psicoterapeutici e sociali attivare ” (CDP 9.2019.213 del 15 luglio 2020, doc. 136, pag. 688 incarto AI). Dopo aver visionato la documentazione medica agli atti (doc. 142, pagg. 727, 730 e 734 incarto AI), effettuato tre colloqui medico-psichiatrici (il 6, 7 e 14 dicembre 2018, doc. 142, pag. 724 incarto AI) presso il reparto protetto dove l’assicurato era ricoverato in modalità coatta (doc. 142, pag. 729 incarto AI), svolti i test psicometrici il 19 dicembre 2018 per il tramite le psicologhe coadiuvanti (doc. 142, pagg. 736-744 incarto AI), l’anamnesi durante la quale l’assicurato ha nuovamente negato precedenti affezioni psichiatriche (doc. 142, pag. 728 incarto AI), i periti psichiatri dr. __________ e dr.ssa __________ hanno formulato la diagnosi di “ Sindrome delirante, sottotipo querulomane F 22.0 ” a far tempo da dicembre 2018 (doc. 142, pag. 744 incarto AI), osservando come la patologia si sia sviluppata nel tempo partendo da una personalità di tipo narcisistico-paranoidea (doc. 142, pagg. 733, 734 e 744 incarto AI), rilevando altresì come l’assicurato non ha mai assunto terapie psicofarmacologiche (doc. 142, pag. 747 incarto AI). Nel suo scritto del 9 febbraio 2022 indirizzato all’Istituto delle assicurazioni sociali il curante dr. __________ (specialista in medicina interna) ha osservato che: “ Dalla precedente perizia effettuata dal […] __________ non emergono alcune problematiche ma che sembrano essere divenute fonte di aggravamento dello stato di benessere psicofisico : 1. Il Dott. __________ non aveva rilevato delle problematiche particolari come indicato nella perizia del 31 gennaio 2018 […]. Nella perizia psichiatrica del 21 febbraio 2019 dell’__________ viene invece indicato “Sindrome delirante sottotipo querulomane F 22” senza indicazione dettagliata delle limitazioni personali e del grado percentuale di invalidità che ne deriva […]” (sottolineatura del redattore). Tutto bene considerato, il rapporto peritale del 21 febbraio 2019 non può essere considerato un nuovo mezzo di prova ai sensi dell’art. 53 cpv. 1 LPGA. Infatti, i periti psichiatri non hanno asserito che l’affezione psichiatrica formulata nel dicembre del 2018, fosse antecedente alle visite peritali, anzi: essi hanno dichiarato che essa è la conseguenza dello sviluppo nel tempo di una personalità patologica di tipo narcisistico-paranoidea ed anche il curante si è limitato ad osservare un “ aggravamento dello stato di benessere psicofisico ”, senza contestare quanto accertato dal dr. __________ nell’ambito della prima domanda di prestazioni. Ne consegue che il rapporto peritale del dr. __________ e della dr.ssa __________ non assurge a nuovo elemento in grado di sconfessare quanto accertato dal dr. __________ e, quindi, di dimostrare che la (prima) decisione resa dall’Ufficio AI era oggettivamente viziata poiché fondata su una valutazione medica errata. Già per questo motivo la revisione processuale è fuori discussione. Inoltre, dagli atti all’inserto risulta che l’assicurato era venuto a conoscenza del surriferito rapporto psichiatrico al più tardi il 6 gennaio 2020, ossia quando ha presentato “ ricorso alle decisioni 32.2018.188 e 43.2019.2 del Tribunale Cantonale delle assicurazioni ” al Tribunale federale (doc. 118, pag. 570 in fine). Ammesso e non concesso che il “ sollecito evasione compiego documentazione sanitaria utile per la revisione inerente all’aggravio dello stato di salute […]” dell’8 giugno 2022 (doc. 148 incarto AI) fosse da interpretare quale domanda di revisione processuale ex art. 53 cpv. 1 LPGA, il termine di perenzione di novanta giorni dalla conoscenza del rapporto peritale del 21 febbraio 2019 era già ampiamente decorso, circostanza, anche questa, che conformemente alla surriferita giurisprudenza preclude una revisione processuale. Visto quanto precede, i presupposti per una revisione processuale non sono in concreto adempiuti. 2.6.3.2.  Per quanto concerne la riconsiderazione ex art. 53 cpv. 2 LPGA, essa è prerogativa esclusiva dell’amministrazione, come rettamente rilevato dall’Ufficio AI (XII, pag. 5; doc. 178 incarto AI): né l’assicurato, né l’autorità giudiziaria (ma tutt’al più l’UFAS, STF 9C_505/2007 del 7 maggio 2008 consid. 2.3.) possono imporre una riconsiderazione di una decisione cresciuta in giudicato formale (DTF 133 V 50 consid. 4.1. con riferimenti; Flückiger, op. cit., n. 2 , 55, 56, 60 e segg. e 91-92 ad art. 53 LPGA; CIRAI, cifra 6104). Inoltre, una decisione cresciuta in giudicato materiale, ossia la decisione amministrativa valutata sotto il profilo materiale dall’autorità giudiziaria, non può formare oggetto di una riconsiderazione (STF 9C_483/2022 del 28 agosto 2023; DTF 138 V 147 consid. 2.1.; Flückiger, op. cit., n. 77 ad art. 53 LPGA; Forster, Rechtsprechung des Bundesgerichts zum ATSG, in: RBS 2021, pag. 496 e seg.). Infine, la decisione dell’amministrazione di non entrata in materia su una richiesta di riconsiderazione può essere comunicata per iscritto, senza ulteriori vincoli di forma, non potendo essere impugnata (Flückiger, op. cit., n. 91 ad art. 54 LPGA). In concreto, la decisione del 9 maggio 2018 è cresciuta in giudicato formale (cfr. supra consid. 1.1.), ragione per cui la decisione – comunicata all’assicurato in forma scritta (doc. 171, pag. 992 incarto AI) – dell’Ufficio AI di non procedere ad una riconsiderazione della decisione in parola risulta conforme ai surriferiti dettami giurisprudenziali e dottrinali. Pertanto, l’agire dell’amministrazione è corretto. 2.7.  Come accennato (cfr. supra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