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32.2023.23 vom 26. Januar 2023</w:t>
      </w:r>
    </w:p>
    <w:p>
      <w:r>
        <w:t>TI Tribunale d'appello, 2023-01-26, IT</w:t>
      </w:r>
    </w:p>
    <w:p>
      <w:r>
        <w:rPr>
          <w:b/>
        </w:rPr>
        <w:t xml:space="preserve">Quelle: </w:t>
      </w:r>
      <w:r>
        <w:t>https://mcp.opencaselaw.ch/entscheid/ti_gerichte_32.2023.23</w:t>
      </w:r>
    </w:p>
    <w:p>
      <w:r>
        <w:t>FR: TI_GERICHTE 32.2023.23 du 26 janvier 2023</w:t>
      </w:r>
    </w:p>
    <w:p>
      <w:r>
        <w:t>IT: TI_GERICHTE 32.2023.23 del 26 gennaio 2023</w:t>
      </w:r>
    </w:p>
    <w:p>
      <w:pPr>
        <w:pStyle w:val="Heading2"/>
      </w:pPr>
      <w:r>
        <w:t>Regeste</w:t>
      </w:r>
    </w:p>
    <w:p>
      <w:r>
        <w:t>Ricorso contro decisione attribuzione rendita limitata nel tempo. Refertazioni dell’A. tardive, risp. non insinuano dubbi su valutazione SMR (confermata). Tentativo di reintegrazione i.c. irrilevante. Valutazione economica del TCA ancora più pregiudizievole per l’A., che presenta grado d'inv. nullo</w:t>
      </w:r>
    </w:p>
    <w:p>
      <w:pPr>
        <w:pStyle w:val="Heading2"/>
      </w:pPr>
      <w:r>
        <w:t>Erwägungen</w:t>
      </w:r>
    </w:p>
    <w:p>
      <w:r>
        <w:rPr>
          <w:b/>
        </w:rPr>
        <w:t>E. 38</w:t>
      </w:r>
    </w:p>
    <w:p>
      <w:r>
        <w:t>LPGA, cui rinvia l'art. 60 cpv. 2 LPGA, prescrive che se il termine è computato in giorni o in mesi e deve essere notificato alle parti, inizia a decorrere il giorno dopo la notificazione (cpv. 1). Se l'ultimo giorno del termine è un sabato, una domenica o un giorno festivo del Cantone in cui ha domicilio o sede la parte o il suo rappresentante, il termine scade il primo giorno feriale seguente (cpv. 3; DTF 119 V pag. 8 = Pratiche VSI 1993 pag. 117 cosi. 3a). I termini stabiliti dalla legge o dall'autorità in giorni o in mesi non decorrono dal settimo giorno precedente la Pasqua al settimo giorno successivo alla Pasqua incluso, dal 15 luglio al 15 agosto incluso, dal 18 dicembre al 2 gennaio incluso (cpv. 4). Gli atti scritti devono essere consegnati all'autorità oppure all'indirizzo di questa, a un ufficio postale svizzero o a una rappresentanza diplomatica o consolare svizzera al più tardi l'ultimo giorno del termine (art. 39 cpv. 1 LPGA, applicabile anche nella procedura ricorsuale a seguito del rinvio di cui all’art. 60 cpv. 2 LPGA). Un invio raccomandato è reputato notificato al momento in cui il destinatario l’ha ricevuto. Generalmente un secondo invio e la susseguente ricezione non modificano tale risultato; essi sono giuridicamente irrilevanti (DTF 119 V 94 cosi. 4b/aa con riferimenti). Infine, 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 Nel caso in esame le tavole processuali non permettono di chiarire se la decisione impugnata è stata inviata allo Studio legale e notarile Tamagni Fornara &amp; Associati, come indicato in epigrafe della decisione (I, allegato A 1 ) o alla cassa di compensazione GastroSocial di Aarau che l’ha poi inoltrata al citato legale, quest’ultimo asserendo di averla ricevuta il 3 febbraio 2023. Non essendovi un invio raccomandato con tracciamento postale e non avendo l’Ufficio AI contestato la versione fornita dal patrocinatore dell’assicurato, la situazione di dubbio va risolta, conformemente alla suevocata giurisprudenza, in favore di quest’ultimo, ragione per cui il ricorso è tempestivo. Il TCA può pertanto entrare nel merito dell’impugnativa. nel merito 2.3.  Oggetto del contendere è sapere se a ragione o meno l’Ufficio AI ha limitato l’attribuzione di una rendita intera al periodo dal 1. settembre 2021 al 31 marzo 2022. Va anzitutto rilevato che il 1. gennaio 2022, ossia prima dell’emanazione della decisione impugnata, è entrata in vigore una (importante) modifica della LAI e dell’OAI denominata “Ulteriore sviluppo dell’AI” e che concerne (anche) il diritto alla rendita (cfr. RU 2021 705).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l’assicurato ha presentato la sua prima (e qui litigiosa) domanda di prestazioni il 24 novembre/2 dicembre 2020 (cfr. supra consid. 1.1.), ragione per cui l’eventuale diritto a prestazioni AI è in ogni caso insorto precedentemente alla modifica legislativa di cui sopra (cfr. artt. 28 cpv. 1 lett. b e 29 cpv. 1 LAI). Visto quanto precede, ogni riferimento alle norme di diritto materiale applicabili in concreto, salvo indicazione contraria, va inteso nel tenore in vigore fino al 31 dicembre 2021.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 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2.8.1.  In concreto, ricevuta la domanda di prestazioni, al fine di accertare lo stato valetudinario dell’assicurato l’Ufficio AI ha sottoposto al medico SMR la refertazione medica acquisita agli atti. Il medico SMR si è determinato su detta refertazione con rapporto finale del 10 marzo 2022 (cfr. supra consid. 1.4.). Il ricorrente contesta la valutazione medica posta alla base della decisione impugnata, sostenendo di essere ancora inabile al lavoro, almeno nella misura del 50%, a causa delle gravi limitazioni funzionali. Egli rimprovera all’Ufficio AI di aver conferito un valore probatorio accresciuto alle valutazioni dei medici fiduciari dell’assicurazione infortuni, questi ultimi non essendo periti esterni ai sensi dell’art. 44 LGPA. Quo alla valutazione economica, egli evidenzia come il tentativo di reintegrazione professionale effettuato presso il precedente datore di lavoro sia stato futile, ciò che confermerebbe una situazione valetudinaria compromessa anche in attività adeguate. Inoltre, egli non comprende come mai non sia stato preso in considerazione il “ gap salariale ”, censurando la riduzione sociale al reddito da invalido operata dall’amministrazione in ragione del 20% (cfr. supra consid. 1.1., 1.6. e 1.7.). Questo Tribunale, chiamato a verificare se lo stato di salute del ricorrente sia stato accuratamente vagliato dall’amministrazione prima dell’emanazione della decisione impugnata, dopo attenta analisi della documentazione medica agli atti, non ravvisa alcun motivo per metterne in dubbio le conclusioni. 2.8.2.  Come accennato (cfr. supra consid. 1.6. e 1.7.), il ricorrente sostiene che siccome i medici fiduciari non sono dei periti esterni ai sensi dell’art. 44 LPGA, le loro valutazioni non beneficiano di un valore probatorio accresciuto. Ora, si conviene con l’insorgente che i pareri medici interni dell’assicurazione, per definizione, non configurano perizie esterne ai sensi dell’art. 44 LPGA, l’amministrazione dovendo ordinare queste ultime ogni qualvolta si presentino (anche solo minimi) dubbi circa l’affidabilità e concludenza delle valutazioni dei medici interni (STF 9C_661/2019 del 26 maggio 2020, 8C_59/2011 del 10 agosto 2011 consid. 5.2., STCA 32.2022.27 del 29 agosto 2022 e 32.2021.64 del 18 ottobre 2021). Quo alla valenza probatoria dei pareri dei medici fiduciari degli assicuratori – come quelli del medico SMR –, pur non assurgendo a rango di perizia esterna, in caso di lite essi hanno valore probatorio preponderante per rapporto ai pareri dei curanti e delle perizie di parte (cfr. supra consid. 2.7.; in tema Riemer-Kafka, Unabhängiger Board: Aufgaben und mögliche Umsetzung, in: Das Indikatorenorientierte Abklärungsverfahren, 2017, pagg. 154-158), a patto che, come detto, non sussista alcun dubbio sulla loro affidabilità e concludenza. Visto quanto precede, pur non configurando perizie esterne ex art. 44 LPGA, le valutazioni dei medici interni all’assicurazione infortuni, fatte proprie dal medico SMR, hanno valenza probatoria preponderante rispetto a quella dei curanti, rispettivamente di perizie di parte. In concreto l’Ufficio AI non ha mai asserito che la valutazione del medico SMR e dei medici dell’assicurazione infortuni costituissero delle perizie esterne ex art. 44 LGPA, ragione per cui la censura del ricorrente non ha pregio. 2.8.3.  Il ricorrente contesta le conclusioni del medico SMR, adducendo una situazione valetudinaria ben peggiore di quella da lui accertata e che dovrebbe essere oggetto di ulteriori approfondimenti medici. Va qui rilevato che il principio inquisitorio che vige nella procedura delle assicurazioni sociali non è da intendere quale principio assoluto ma trova il suo correlato nel dovere delle parti di collaborare all’istruzione della causa (DTF 122 V 157 consid. 1a, 121 V 204 consid. 6c con rinvii). Il dovere processuale di collaborazione comprende in particolare l’obbligo delle parti di apportare – ove ciò fosse ragionevolmente esigibile – le prove necessarie, avuto riguardo alla natura della disputa ed ai fatti invocati, ritenuto che altrimenti rischiano di dover sopportare le conseguenze della carenza di prove (DTF 117 V 264 consid. 3b con rinvii). Conseguentemente, nella misura in cui il ricorrente, peraltro rappresentato da un legale, con le osservazioni del 5 ottobre 2022 ed il ricorso del 1. marzo 2023 si è limitato ad esprimere critiche generiche e di carattere meramente soggettivo circa l’operato dell’amministrazione senza produrre alcuna (nuova) refertazione medica a supporto delle sue tesi (cfr. supra consid. 1.6 e seg.), egli ha violato il suo dovere processuale di collaborazione, con le suevocate conseguenze. Giova inoltre ricordare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Ciò premesso, occorre analizzare la refertazione medica (pertinente) prodotta nelle more del ricorso e che, a mente dell’insorgente, renderebbe necessario un approfondimento medico, rispettivamente gli conferirebbe il diritto a metà rendita (cfr. supra consid. 1.7.). Con due scritti del 5 settembre 2022 (VI, allegati H e I) il dr. __________ si è così determinato: " […] riguardo all’aspetto ortopedico , ho illustrato le mie perplessità nel rapporto: […] nessuno ha pensato, o ritenuto opportuno, fare eseguire prove elettrofisiologiche per il nervo ascellare destro che, se risultasse danneggiato, inciderebbe anche sulla valutazione della menomazione fisica. La guarigione in intra-rotazione della testa omerale comporta naturalmente la limitazione funzionale attuale come pure, in un futuro neanche tanto lontano, peggioramenti artrosici alla spalla destra. Veniamo alla caviglia destra: […] si osserva […] un rimaneggiamento osseo a livello del talo (o astragalo) e os trigonum. Non vi sono però immagini riferite a TAC della caviglia per capire esattamente la situazione, esame che sarebbe oltremodo doveroso poiché un eventuale interessamento di questo importante osso […] potrebbe comportare artrosi supplementare all’articolazione talare (o calcagno-astragalica) […] con peggioramento praticamente certo, come del resto sottolinea il Dott. __________ […] che sottolinea “vi è un rischio aumentato di sviluppo di artrosi precoce pertanto non si può escludere che nel futuro si dovrà valutare anche una IMI per tale problema”. […] questa valutazione può e dovrebbe avvenire già ora , tenuto conto che, con documentazione radiostrumentale […] si può arrivare a conclusioni assai più precise e con valutazione IMI diversa rispetto a quella stimata. Sulla capacità lavorativa , sarebbe interessante capire se, come indicato nelle conclusioni neuropsicologiche il comportamento deficitario del paziente fosse dovuto alla scarsa scolarità e non a sequele post-traumatiche, come il signor RI 1 abbia potuto lavorare per 12 anni in un medesimo posto di lavoro e altri 25 in un altro riuscendo ad espletare senza impedimenti le proprie mansioni. Se nel futuro non potrà assolvere il tipo di lavoro svolto, si dovranno valutare quali lavori confacenti siano alla portata […]. Le limitazioni […] della spalla e caviglia […] possono e dovrebbero essere ancora valutate mediante prove di carico e funzionali previa le indagini radiostrumentali e neurologiche indicate nel rapporto. ” (allegato I, sottolineature del redattore). " […] Visionando le radiografie è possibile ipotizzare esservi stata (non da escludere e ancora in atto) una lesione del nervo ascellare destro . La guarigione della frattura dell’omero è avvenuta con una angolazione in intra-rotazione ciò che può ampiamente spiegare la limitazione funzionale in abduzione-elevazione che non va oltre i 90/95°. A fronte della situazione interessante la caviglia destra , la prima radiografia del 10 settembre 2020 evidenzia una frattura trimalleolare spostata con os trigonum retrotalare. Per contro, le radiografie successive […], mostrano […] un rimaneggiamento […] nella faccia posteriore del talo, rimaneggiamento che conferma gli esiti di frattura da implosione […] mai menzionata nelle diagnosi […]; non vi è neppure un rilevamento radiologico mediante radiografie convenzionali o TAC volte a valutare la situazione non solo a livello tibio-talare ma anche talo-calcaneare. Di conseguenza […] ritengo necessaria una rivalutazione della situazione accertando: · lo stato della spalla destra mediante risonanza magnetica […] per verifica stato articolare nonché l’accertamento dell’eventuale lesione del nervo ascellare mediante esame neurologico con prove elettrofisiologiche; · lo stato della caviglia destra mediante TAC […]. Sullo stato neurologico e neuropsicologico non posso esprimermi in maniera compiuta , nondimeno […], le conclusioni neuropsicologiche mi lasciano un po' perplesso. […] Mi chiedo [se, n.d.r.] in considerazione del danno frontale subito non vi siano problemi di disordine frontale, forse meglio valutabili – oltre che dal neurologo – anche da uno psichiatra.” (allegato H, sottolineature del redattore). Ora, si rileva innanzitutto che la valutazione del dr. __________ configura una perizia di parte (cfr. supra consid. 2.8.2.) allestita in ambito LAINF (vedasi riferimento all’indennità per menomazione dell’integrità). Nel merito della valutazione specialistica, il menzionato chirurgo ha espresso delle generiche perplessità circa l’operato dei medici fiduciari, ipotizzando uno stato valetudinario peggiore rispetto a quanto da loro accertato, auspicando ulteriori esami diagnostici per poter escludere problematiche che, a mente sua, potrebbero avere ripercussioni sullo stato valetudinario dell’assicurato. La valutazione del dr. __________, che neppure si esprime compiutamente sulla capacità lavorativa residua, pertiene esclusivamente alle ipotesi diagnostiche che, di per sé, non sono sufficienti per sollevare dubbi circa le valutazioni dei medici fiduciari, fatte proprie dal medico SMR. Il ricorrente si prevale altresì del rapporto del 25 maggio 2023 del dr. __________ inviato al patrocinatore (XII, allegato O): " […] Noto […] non essere stata eseguita una visita neurologica presso altro specialista con domanda specifica di eseguire un esame ENMG per il nervo ascellare alla spalla destra. La motivazione per la quale mi ero soffermato su questa indicazione era che tutti […], compreso il Dott. __________ […], riportavano “ atrofia del muscolo deltoideo nella porzione anteriore”. […] il tipo di frattura subito […] il fatto che il paziente abbia questa atrofia e che la stessa non sia affatto migliorata […], oltre che per il deficit di motilità dovuto alla guarigione delle fratture della spalla destra, può essere riconducibile con probabilità anche ad una lesione del nervo ascellare che innerva il muscolo deltoideo e quindi questa eventualità implicherebbe una valutazione supplementare per la menomazione alla integrità fisica della spalla. Riguardo caviglia e avampiede destro: la TAC eseguita il 14.3.2023 parla chiaramente per artrosi tibiotarsica, osteofiti marginali ossei e quindi il peggioramento futuro previsto dal Dott. Med. __________ […] sta già avvenendo e, come prevede Lainf, occorre eseguire la valutazione già tenendo conto dei danni futuri . Si aggiunge […] il nuovo riscontro […] di una frattura dell’osso cuboide a livello del piede destro in pseudoartrosi […]. Questa componente comporta la previsione – praticamente certa – di artrosi calcagno-cuboide del piede destro. Gli elementi sopra riassunti devono, pertanto, essere oggetto di rivalutazione: nervo ascellare della spalla destra con esame ENMG per accertare o meno la lesione effettiva che spiegherebbe l’atrofia del muscolo deltoideo e conseguentemente derivante dal tipo di frattura. […]. L’artrosi della caviglia destra , in questo momento, è da valutare almeno nella percentuale del 15% e non il 5% come valutato dal Dott. Med. __________ [riferita all’indennità per menomazione dell’integrità fisica, doc. 93, pag.284 e seg. incarto AI, n.d.r.], il quale si era orientato sui riscontri radiografici piuttosto vecchi. Si dovrà poi aggiungere la valutazione della lesione, finora mai vista né trattata ossia frattura composta dell’osso cuboide destro attualmente in stato di pseudoartrosi, che sfocerà in artrosi calcagno-cuboide nel prossimo futuro , questa componente può essere classificabile in artrosi grave con valutazione dal 10% al 20% situabile in un minimo del 10%. […] non si può eseguire una semplice addizione delle varie postille post-infortunistiche poiché si potrebbe superare la percentuale del 100% tuttavia, in questo caso, la valutazione eseguita dal Dott. Med. __________ con il complessivo 20%, non si giustifica in base agli esami eseguiti finora. Sarebbe […] importante dar seguito alle ulteriori valutazioni necessarie anche per l’eventuale valutazione di rendita . […] aggiungo che sono […] del parere che le lesioni a livello del parenchima cerebrale hanno lasciato qualche sequela specie comportamentale ; infatti il Dott. __________, che ha seguito il paziente a lungo, parla di impulsività, disturbi WM di tipo verbale discreti, linguaggio digressivo e alterazione della comprensione. La valutazione del Dott. Med. __________, per contro, riconduce queste componenti alla scarsa scolarità del paziente dovuta in parte anche alla ipoacusia presente dall’infanzia. Non entro nel merito di questa componente non di mia competenza pure rimanendo perplesso […]. Consiglierei […] una valutazione psichiatrica.” (sottolineature del redattore). Va qui rilevato che il potere cognitivo del giudice delle assicurazioni sociali chiamato a valutare la legalità della decisione deferitagli è limitato temporalmente alla fattispecie rilevante al momento dell’emanazione di tale decisione (pro multis DTF 136 V 24 consid. 4.3 e 130 V 445 consid. 1.2 con rinvii), in concreto il 26 gennaio 2023 (cfr. supra consid. 1.6. in fine).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Tornando al caso che ci occupa, di tutta evidenza lo specialista non si è espresso sulla capacità lavorativa residua. Per quanto attiene all’affezione alla spalla, egli si è limitato a manifestare il proprio disappunto per il mancato esame ENMG del nervo ascellare, ipotizzandone una lesione (determinante l’accertata l’atrofia) che, se accertata, implicherebbe una rivalutazione dell’IMI per la spalla. Quo alla caviglia e all’avampiede destro, lo specialista – sulla base della TAC del 14 marzo 2023 – ritiene che il peggioramento prospettato dal collega dr. __________ sia già in atto, senza però accennare a come l’asserito peggioramento possa influire sulla capacità lavorativa residua, preferendo una valutazione prospettica – e divergente rispetto a quella del dr. __________ – della percentuale di indennità per menomazione dell’integrità fisica in ambito LAINF. Quo alla valutazione neurologica, è l’ortopedico stesso ad ammettere la propria incompetenza in tale ambito, limitandosi a sollevare generiche perplessità sull’operato del dr. __________ (specialista in neurologia, cfr. supra consid. 1.4.) e a rinviare al rapporto del 23 agosto 2021 del dr. __________ (specialista in neurologia). A tal proposito, si rileva che oltre al rapporto del dr. __________, il dr. __________ ha anche vagliato le valutazioni neuro(psico)logiche del 18 settembre 2020, del 31 marzo 2021 e del 13 settembre 2021 (doc. 95, pagg. 289-292 incarto AI), concludendo come l’assicurato “ non ha riportato conseguenze neurologiche maggiori sia per quel che riguarda gli aspetti clinici concernenti le varie funzioni neurologiche che gli aspetti neuropsicologici ”. Peraltro, chiamato a prendere posizione dall’assicurazione infortuni circa la censura del patrocinatore secondo cui i disturbi neuropsicologici dell’assicurato non fossero stati adeguatamente approfonditi, con complemento peritale del 26 luglio 2022 il dr. Bernasconi ha osservato quanto segue: " […] faccio notare […] che i problemi neuropsicologici sono stati presi attentamente in considerazione, innanzitutto richiedendo proprio la valutazione neuropsicologica dell’__________, che non era […] nella documentazione iniziale . […] ho preso contatto anche con il Dr. __________ , neurologo che conosce molto bene il paziente, e che mi ha confermato quanto da me riportato a pagina 7 della […] perizia, anche a proposito degli aspetti neuropsicologici. Inoltre, […] mi riferisco al rapporto del 15.12.2021 dell’__________, pagina 2, dove si riporta che “la valutazione neuropsicologica mette in luce un quadro cognitivo caratterizzato da lievi screzi di carattere attentivo-esecutivo e mnesico”: si parla dunque di “lievi screzi” cioè di reperti di entità minima. […] proprio in questa valutazione si sottolinea che i test somministrati possono “essere stati influenzati ( in maniera rilevante ) dalla ridotta scolarità e dalla scarsa abitudine all’impegno cognitivo e al setting valutativo”. Inoltre, “viene riferita una buona autonomia nel funzionale, con funzionamento cognitivo-comportamentale adeguato in assenza di rilevanti ricadute o limitazioni ”. In pratica, si ritiene che i risultati degli esami neuropsicologici siano innanzitutto solo minimamente alterati e che non hanno un influsso sulle attività quotidiane. […] ritengo di poter confermare la mia valutazione.” (I, allegato F). Richiamata la giurisprudenza topica (cfr. supra consid. 2.7. e 2.8.2.), ricordato il margine d’apprezzamento delle prove di cui il giudice delle assicurazioni gode e di quello ancora più ampio delle assicurazioni sociali circa la necessità, l’estensione e l’opportunità di esperire ulteriori approfondimenti medici, atteso che il potere cognitivo del giudice delle assicurazioni sociali chiamato a valutare la legalità della decisione deferitagli è limitato temporalmente alla fattispecie rilevante al momento dell’emanazione di tale decisione, questo Giudice ritiene che in casu le refertazioni prodotte dall’insorgente e le argomentazioni da lui formulate nel corso della presente procedura non siano sufficienti ad insinuare dubbi circa la correttezza delle valutazioni dei medici fiduciari LAINF, fatte proprie dal medico SMR. Questo, perlomeno, fino alla data della decisione impugnata. Ciò non preclude all’insorgente di produrre, se del caso, nuove refertazioni mediche nell’ambito di un’eventuale nuova domanda di prestazioni AI, rilevato come non si possa escludere un peggioramento della sua situazione valetudinaria intervenuto dopo l’emanazione della decisione impugnata. La valutazione medica va pertanto confermata. 2.9. 2.9.1.  Il ricorrente rimprovera all’amministrazione, per quel che è dato di capire, di non aver tenuto debitamente conto del fallito tentativo di reintegrazione professionale in attività leggera organizzato dal datore di lavoro, esito che confermerebbe la tesi secondo cui egli non sarebbe reintegrabile sul libero mercato del lavoro (I, p.to 7.; doc. 40 incarto AI). Come accennato (cfr. supra consid. 2.7.), spetta al consulente professionale, avuto riguardo alle indicazioni mediche, valutare quali attività professionali siano concretamente ipotizzabili. In concreto tutti i medici hanno escluso in modo assoluto la ripresa, anche solo a tempo parziale o con riduzione del rendimento, dell’attività lavorativa abituale di cuoco (cfr. supra consid. 1.4.). La consulente IP ha quindi rilevato nel mercato del lavoro in equilibrio una serie di attività semplici e non qualificate che l’assicurato può intraprendere nel rispetto dei limiti funzionali rilevati (cfr. supra consid. 1.5.). Conseguentemente, lo scritto del datore di lavoro del 16 settembre 2022 secondo cui “[…] martedì 13 settembre il Signor RI 1 si è presentato presso il nostro ristorante ad eseguire una prova di lavoro per poter valutare la possibilità di un […] rientro quale impiegato [...]. La prova si è svolta durante il pomeriggio, momento della giornata in cui il lavoro è alquanto ridotto, specialmente in cucina, luogo d’impiego dello stesso ” e che “[…] risulta impossibile che egli possa riprendere la professione esercitata prima dell’incidente, come pure altre mansioni meno pesanti, in quanto il danno alla spalla gli impedisce la maggior parte dei movimenti necessari al lavoro ” (doc. 40, pag. 105 incarto AI, sottolineature del redattore) è irrilevante: da una parte il tentativo di ripresa lavorativa è stato effettuato nella sua attività abituale di cuoco, seppure con un carico di lavoro ridotto. Dall’altro, non è certo il datore di lavoro che può determinarsi sull’esigibilità o meno per l’assicurato di svolgere imprecisate “ mansioni meno pesanti ”, ritenuto che non è nemmeno dato di sapere se si tratti di una valutazione del datore del lavoro, se siano state tentate delle “ mansioni meno pesanti ” e, se del caso, in cosa esse consistano. 2.9.2.  Il ricorrente contesta “ la mancata presa in considerazione del GAP salariale e di fattori riduttivi d’ordine socio personale ” (I, p.to 7.). Ora, nella misura in cui il ricorrente con “ GAP salariale ” intende il parallelismo dei redditi, giova illustrare quanto stabilito dalla nostra Massima Corte nella STF 9C_138/2019 del 29 maggio 2019 (consid. 4., sottolineature del redattore) sul concetto di parallelismo dei redditi: “[…] Il Tribunale federale ha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precario, ecc.), ha realizzato un reddito considerevolmente inferiore alla media dei salari conseguibili nello stesso ambito professionale – tale limite essendo stato fissato al 5% – senza che vi sia spontaneamente accontentata , si procede a un parallelismo dei dure redditi di paragone per la parte percentuale eccedente la soglia del 5% (DTF 135 V 297).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134 V 322). 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un reddito da invalido medio realisticamente irrealizzabile. Per converso, laddove un reddito da invalido di fascia media è realisticamente conseguibile rispettivamente ragionevolmente esigibile, un reddito da valido inferiore alla media (per motivi economici) non deve essere adattato al livello medio ( DTF 135 V 58 consid. 3.4.3 e 3.4.4 pag. 61 segg.; cfr. pure sentenza 9C_21/2014 del 2 aprile 2014 consid. 3).” In concreto questo Giudice conviene con quanto asserito dall’Ufficio AI nella decisione impugnata, ossia che il “[…] gap salariale […] non è stato applicato in ragione del fatto che l’assicurato dal 1998 ha lavorato sempre per lo stesso datore di lavoro: Inoltre nel punto 5 del curriculum vitae del 08.12.2020 […] egli ha dichiarato di non aver effettuato ricerche di impiego alternativo, essendo soddisfatto del proprio lavoro. Questi elementi sono dimostrativi che il Sig RI 1 non aveva ambizioni di conseguire un reddito più elevato e si è “accontentato” del reddito percepito presso Scherrer &amp; Caroppo, di cui è stato dipendente per un ventennio ” (I, allegato A 1 ). Inoltre, utilizzando i dati della tabella RSS 2020 TA1_tirage_skill_level (STFA U 75/03 del 12 ottobre 2006 e I 222/04 del 5 settembre 2006), in un’attività nel ramo 56 (ristorazione), livello di qualifica 1, uomo, per un orario aziendale di 42,5 ore (tabella NOGA 08, dati del 2020) il reddito statistico da valido ammonterebbe a fr. 51'497.25 (fr. 4'039 : 40 ore x 42,5 ore x 12 mesi). Essendo il salario effettivamente percepito nel 2020, ossia fr. 61'620 (doc. 6, pag. 18 incarto AI), superiore al reddito da valido calcolato su base statistica, anche per questo motivo non vi è spazio per un parallelismo dei redditi. Quo all’asserita insufficiente riduzione percentuale dal reddito da invalido, ci si potrebbe chiedere se la censura, così come formulata, violi o meno il dovere di collaborazione delle parti (cfr. supra consid. 2.8.3.), il ricorrente non avendo neppure motivato perché l’amministrazione sia in torto, quali ulteriori fattori andassero considerati per la riduzione e in che misura. Ma a parte ciò, si rileva che del 20% di riduzione sociale la metà (10%) è da ricondurre al “ Tasso di riduzione per attività leggere ” (doc. 31 incarto AI). Ora, la domanda a sapere se occorre operare una riduzione percentuale dal reddito da invalido è una questione di diritto, liberamente verificabile dal giudice delle assicurazioni sociali (pro multis DTF 146 V 16 consid. 4.2. con rinvii giurisprudenziali). A tal proposito si evidenzia che in plurime pronunzie (pro multis STCA 32.2022.41 del 17 ottobre 2022 consid. 2.8.2., 32.2022.39 del 17 ottobre 2022 consid. 2.7.3., 32.2022.27 del 29 agosto 2022 consid. 2.11.3., 32.2022.20 dell’8 giugno 2022 consid. 2.8., 32.2021.67 del 7 marzo 2022 consid. 2.7.5.) il TCA ha reso edotto l’Ufficio AI che una riduzione dettata dagli impedimenti fisici si giustifica solo se anche su un mercato del lavoro che si suppone equilibrato, considerati gli impedimenti legati alla persona o al posto di lavoro, non esiste più un ventaglio sufficientemente ampio di attività accessibili alla persona assicurata. Negli altri casi non viene applicata nessuna deduzione a questo titolo neppure se la capacità lavorativa è totale in attività adeguate e non si pone dunque il problema di un’indebita doppia deduzione (STF 8C_495/2019 dell'11 dicembre 2019 consid. 4.2.2 con riferimento, 8C_82/2019 del 19 settembre 2019 consid. 6.3.2., 8C_730/2019 del 10 giugno 2020 consid. 4.4.4, 8C_765/2019 del 10 giugno 2020 consid. 5.4.4, 8C_9/2020 del 10 giugno 2020 consid. 4.4.4; Bernasconi, 8C_9/2020 du 10 juin 2020 - Abattement sur le revenu d’invalide selon l’ATF 126 V 75, in SZS 1/2021 n. 49). In concreto, la consulente IP ha rilevato un ventaglio sufficiente di attività semplici e leggere che l’assicurato potrebbe svolgere (cfr. supra consid. 1.5. e 2.8.1.), ragione per cui non si giustifica la riduzione del 10% per attività leggere. Per il resto, si osserva che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Inoltre, chiamato a pronunciarsi sulla deduzione globale, la quale procede da una stima che l’amministrazione deve succintamente motivare, il giudice non può senza valido motivo sostituire il suo apprezzamento a quello degli organi dell’assicurazione (DTF 126 V 80 consid. 5b/cc). Visto quanto precede, la riduzione del 10% per “ Svantaggi salariali derivanti da contingenze particolari ”, può essere tutelata, mentre la richiesta dell’assicurato di aumentare (del 5%) la riduzione sociale a tale titolo è priva di fondamento. Non essendo giustificata la riduzione del 10% per attività leggere, il reddito da invalido corrisponde a fr. 62'057.78 (ossia il reddito statistico di fr. 68'953.09 a cui vanno dedotti fr. 6'895.31, pari alla riduzione del 10% per “svantaggi salariali derivanti da contingenze particolari”). Operando il confronto dei redditi ex art. 16 LPGA risulta che l’assicurato non presenta una perdita di guadagno, rispettivamente presenta un grado d’invalidità nullo, il salario da invalido (fr. 62'057.78) essendo superiore a quello da valido (fr. 61'620). Pertanto, la censura del ricorrente cade nel vuoto, l’Ufficio AI avendo operato un’eccessiva riduzione percentuale dal reddito da invalido, circostanza che, una volta rettificata in questa sede sulla base dei calcoli di cui sopra, ha evidenziato un grado d’invalidità nullo. 2.10.  Visto tutto quanto precede, la decisione impugnata merita conferma, mentre il ricorso va integralmente respinto. Come detto (cfr. supra consid. 2.8.3.), ciò non preclude all’insorgente di presentare una nuova domanda di prestazioni AI adducendo e sostanziando un peggioramento della situazione valetudinaria successivo all’emanazione della decisione impugnata in questa sede. 2.11.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