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32.2023.143 vom 10. November 2023</w:t>
      </w:r>
    </w:p>
    <w:p>
      <w:r>
        <w:t>TI Tribunale d'appello, 2023-11-10, IT</w:t>
      </w:r>
    </w:p>
    <w:p>
      <w:r>
        <w:rPr>
          <w:b/>
        </w:rPr>
        <w:t xml:space="preserve">Quelle: </w:t>
      </w:r>
      <w:r>
        <w:t>https://mcp.opencaselaw.ch/entscheid/ti_gerichte_32.2023.143</w:t>
      </w:r>
    </w:p>
    <w:p>
      <w:r>
        <w:t>FR: TI_GERICHTE 32.2023.143 du 10 novembre 2023</w:t>
      </w:r>
    </w:p>
    <w:p>
      <w:r>
        <w:t>IT: TI_GERICHTE 32.2023.143 del 10 novembre 2023</w:t>
      </w:r>
    </w:p>
    <w:p>
      <w:pPr>
        <w:pStyle w:val="Heading2"/>
      </w:pPr>
      <w:r>
        <w:t>Erwägungen</w:t>
      </w:r>
    </w:p>
    <w:p>
      <w:r>
        <w:rPr>
          <w:b/>
        </w:rPr>
        <w:t>E. 26</w:t>
      </w:r>
    </w:p>
    <w:p>
      <w:r>
        <w:t>maggio 2020 e 23 luglio 2020 il dr. med. __________ del SMR ha confermato le conclusioni peritali (doc. 116), le quali sono poi state ribadite nei complementi 22 luglio 2021 (doc. 126 incarto AI), 3 marzo 2021, 10 dicembre 2020 e 13 gennaio 2021 (doc. 152 incarto AI). 2.5.2. Nell’ambito della nuova domanda, l’assicurata ha trasmesso all’Ufficio AI il certificato 18 luglio 2023 del proprio curante dr. med __________, la relazione medica 5 maggio 2023 a firma della dr.ssa __________, i certificati 1. febbraio 2022 e 28 febbraio 2023 del dr. med. __________, la relazione medica 24 maggio 2022 dell’Ospedale __________ di __________, il rapporto di visita ambulatoriale 28 febbraio 2022 del Servizio di Ortopedia e Traumatologia dell’__________, la relazione medica 17 dicembre 2021 della dr.ssa med __________, la valutazione clinica 7 dicembre 2021 del Servizio di Dermatologia dell’__________ e la valutazione ginecologica 6 dicembre 2021 della dr.ssa __________ (doc. 218 incarto AI). Il medico SMR dr. med. __________ ha ritenuto che tale documentazione non attesti nove patologie e che quelle indicate rientrino nel contesto dell’artrite psoriasica HLAB 27+, situazione clinica la cui influenza sulla capacità lavorativa era già stata valutata nel rapporto finale 23 luglio 2020 e posta alla base della decisione 14 maggio 2021. Ha inoltre evidenziato come dalla refertazione prodotta non si evincesse “ il grado di impedimento attuale presente e per quali motivi ” (doc. 237 incarto AI). Non può in effetti essere considerata un’attestazione medica facente validamente e in maniera motivata stato di una (verosimile) rilevante modifica della situazione accertata nell’ambito della precedente procedura sfociata nel riconoscimento del diritto ad un quarto di rendita la certificazione 18 luglio 2023 del curante dr. med __________. Tale referto, oltre a segnalare un peggioramento delle condizioni cliniche e a proporre una lista di diagnosi che, condivisibilmente, il medico SMR ha ritenuto rientrino nel contesto della nota patologia dell’artrite psoriasica, nulla dice in merito alla conseguenza di tali patologie sulla capacità lavorativa. Quanto alla relazione medica 5 maggio 2023 della dr.ssa __________, la stessa, riassunte le anamnesi, rileva l’inefficacia della terapia a base di Humira, fissando una visita per il 26 maggio 2023 per la prescrizione di un piano terapeutico con un nuovo farmaco biologico, senza indicare nuove diagnosi o esprimersi in merito alla capacità lavorativa. Quanto ai certificati 1. febbraio 2022 e 28 febbraio 2023 del dr. med. __________, si tratta di richieste di aiuti domiciliari che nulla aggiungono al noto quadro patologico. Parimenti nessun nuovo elemento rilevante ai fini della capacità lavorativa dell’assicurata emerge dalla relazione medica 24 maggio 2022 dell’Ospedale __________ di __________, la quale si limita ad indicare l’inserimento di un trattamento con farmaco biologico nell’ambito della nota patologia reumatologica. La lettera ambulatoriale 28 febbraio 2022 del Servizio di Ortopedia e Traumatologia dell’__________ si limita ad attestare come l’assicurata sia stata visitata per una sintomatologia dolorosa al ginocchio destro, alle spalle, alla mano destra e alle caviglie senza porre nuove diagnosi o fare stato di un peggioramento con influenza sulla capacità lavorativa. Quanto alla componente dermatologica, il rapporto 17 dicembre 2021 della dr.ssa med. __________ evidenzia un’onicopatia e una dermatite al cuoio capelluto su malattia psoriasica consigliando una terapia con farmaci biologici, mentre la lettera ambulatoriale 7 dicembre 2021 del Servizio di Dermatologia dell’__________ evidenzia una lesione a livello del fianco presente da alcuni anni e indica come le alterazioni ungueali riscontrate siano da interpretare nel contesto della nota psoriasi, rimandando al giudizio del dermatologo circa la necessità di un eventuale terapia biologica e prescrivendo per la dermatite seborroica del cuoio capelluto l’utilizzo di Sebprox shampoo. Da tali referti non si evince un peggioramento dello stato di salute né gli stessi si esprimono sulla conseguenza di tali patologie sulla capacità lavorativa. Stesso discorso vale per il rapporto medico 6 dicembre 2021 della dr.ssa __________, la quale si limita a riferire di aver somministrato una terapia con Valtrex a causa di piccole ulcere vulvari causate da Herpes Simplex 1. Neppure l’ulteriore valutazione 4 aprile 2023 del dr. med. __________, presentata in sede di osservazioni al progetto di decisione 14 settembre 2023, come condivisibilmente indicato dal medico SMR attesta nuova patologia o un peggioramento notevole delle condizioni di salute, ma viene invece indicato come la paziente riferisca la stabilità del quadro clinico con la persistenza di dolori a livello del bacino. Quanto alla documentazione prodotta dalla ricorrente nell’ambito della procedura ricorsuale (doc. B1-7), va evidenziato come non possono essere ritenuti nell’ambito della presente procedura, poiché secondo la giurisprudenza federale, in una procedura giudiziaria di non entrata in materia, le prove addotte solo in sede di ricorso non possono essere prese in considerazione in quanto tardive (cfr. STF 8C_901/2013 del 7 febbraio 2014 consid. 3.2; STF 8C_45/2014 del 20 febbraio 2014 consid. 4.2; STF 8C_457/2012 del 9 luglio 2012 consid. 3.1; STF 8C_177/2010 del 15 aprile 2010; STFA I 734/05 dell'8 marzo 2006; DTF 130 V 64; STCA 32.2017.11 del 16 agosto 2017 consid. 2.6 e rinvii ivi citati; cfr. STCA 32.2014.93 del 4 maggio 2015 consid. 2.5 e rinvii ivi citati; STCA 32.2019.45 del 13 febbraio 2020, consid. 2.6). Stante quanto precede, s econdo questo Tribunale l’Ufficio AI a ragione non è entrato nel merito della domanda della ricorrente. Infatti l’insorgente, chiamata a dimostrare in sede amministrativa che rispetto all’ultima decisione del 14 maggio 2021 vi è stato un peggioramento del suo stato di salute, non ha reso verosimile una rilevante modifica della sua situazione valetudinaria con incidenza sulla sua capacità lavorativa in attività adatta al suo stato di salute. Nel contempo la documentazione medica prodotta successivamente alla decisione contestata (doc. B1-7) va trasmessa all’Ufficio AI affinché la tratti alla stregua di una nuova domanda di prestazioni. 2.6. Visto tutto quanto precede, la decisione impugnata merita conferma mentre il ricorso, nella misura in cui ricevibile, va respinto. 2.7.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2.8. Come accennato (cfr. supra consid. 1.4.), l’insorgente chiede di essere posta al beneficio dell’assistenza giudiziaria con gratuito patrocinio. Il gratuito patrocinio, sia in ambito di procedura ricorsuale che amministrativa, può essere riconosciuto solo ad avvocato patentato che adempie per analogia le condizioni di iscrizione al registro ai sensi dell’art. 8 cpv. 1 LLCA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Nel caso in esame non può quindi essere chiesto il gratuito patrocinio, il RA 1 - rispettivamente il responsabile __________ - non essendo (parificato ad) un avvocato patentato. Può quindi essere postulata solo l’assistenza giudiziaria intesa quale esenzione dalle tasse e spese processuali (art. 3 cpv. 1 LAG). I presupposti (cumulativi) per la concessione dell’assistenza giudiziaria sono in principio dati se l’istante si trova nel bisogno e se il processo non è palesemente privo di esito positivo (art. 29 cpv. 3 prima frase Cost; artt. 2 e 3 cpv. 3 LAG; DTF 124 V 301 consid. 6).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in disamina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 78; DTF 125 II 275 consid. 4b, 119 Ia 251). Dopo un esame forzatamente sommario, sulla base degli atti all’inserto e di quelli prodotti in sede ricorsuale, la vertenza appariva sin dall’inizio destinata all’insuccesso. Come esposto al considerando 2.5.2., gli atti prodotti in sede amministrativa non contenevano elementi idonei a rendere verosimile un cambiamento dello stato di salute dell’insorgente rispetto a quanto ritenuto nella decisione 14 maggio 2021. Quanto alla refertazione medica prodotta successivamente alla decisione 10 novembre 2023 la stessa risultava già da un esame sommario tardiva e, come tale, ininfluente ai fini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