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32.2023.139 vom 7. November 2023</w:t>
      </w:r>
    </w:p>
    <w:p>
      <w:r>
        <w:t>TI Tribunale d'appello, 2023-11-07, IT</w:t>
      </w:r>
    </w:p>
    <w:p>
      <w:r>
        <w:rPr>
          <w:b/>
        </w:rPr>
        <w:t xml:space="preserve">Quelle: </w:t>
      </w:r>
      <w:r>
        <w:t>https://mcp.opencaselaw.ch/entscheid/ti_gerichte_32.2023.139</w:t>
      </w:r>
    </w:p>
    <w:p>
      <w:r>
        <w:t>FR: TI_GERICHTE 32.2023.139 du 7 novembre 2023</w:t>
      </w:r>
    </w:p>
    <w:p>
      <w:r>
        <w:t>IT: TI_GERICHTE 32.2023.139 del 7 novembre 2023</w:t>
      </w:r>
    </w:p>
    <w:p>
      <w:pPr>
        <w:pStyle w:val="Heading2"/>
      </w:pPr>
      <w:r>
        <w:t>Erwägungen</w:t>
      </w:r>
    </w:p>
    <w:p>
      <w:r>
        <w:rPr>
          <w:b/>
        </w:rPr>
        <w:t>E. 31</w:t>
      </w:r>
    </w:p>
    <w:p>
      <w:r>
        <w:t>maggio 2023 della dr.ssa med. __________ osservando: " (…) dopo aver analizzato attentamente i nuovi documenti le confermo che le informazioni non modificano le conclusioni contenute nella mia valutazione del 04.11.2021. In particolare, si osserva che la terapia è rimasta sostanzialmente invariata e che i dosaggi farmacologici dei presunti farmaci assunti (compreso l’antidolorifico) al prelievo del 06 ottobre 2021, erano tutti ben al di sotto del range terapeutico” In merito al referto 1. giugno 2023 del dr. med. __________ si è espresso il perito reumatologo dr. med. __________, il quale ha ritenuto che: " Non vi sono quindi nuove informazioni riguardanti l’aspetto muscolo-scheletrico. Nessun rapporto specialistico né ortopedico né reumatologico. In questo senso non ritengo di dover modificare né le diagnosi da me espresse nella mia valutazione peritale del 14.10.2021 e nemmeno le limitazioni funzionali e le capacità lavorative da me espresse in quell’ambito.” Questo Tribunale condivide quanto osservato dai periti, considerato come i certificati dei curanti prodotti dall’assicurata, oltre a non confrontarsi con le motivate valutazioni peritali, non contengono una disamina circa le ripercussioni delle patologie sulla capacità lavorativa ma si limitano ad una generica richiesta di rivalutazione del grado d’invalidità, non apportando elementi atti a mettere in dubbio le conclusioni di cui al referto pluridisciplinare 21 dicembre 2022. Del resto, va rammentato che alla luce del rapporto di fiducia esistente, il medico curante attesterà, in caso di dubbio, in favore del suo paziente (STF 9C_337/2023 del 22 agosto 2023, consid. 3.3.2.) e che il solo fatto che uno o più medici curanti esprimano un’opinione contraddittoria non è sufficiente a rimettere in discussione una perizia ordinata dal giudice o dall’amministrazione e a imporre nuovi accertamenti (STF 9C_710 del 20 marzo 2012 consid. 4.5 e 9C_9/2010 del 29 settembre 2010 consid. 3.4, entrambe con i rinvii giurisprudenziali ivi menzionati). Per le medesime ragioni nulla muta al riguardo il certificato 20 marzo 2024 del dr. med __________, prodotto nelle more della presente procedura il quale, sulla falsariga dei precedenti referti, descritto il noto quadro patologico, indica che l’assicurata “ non è in grado di svolgere un lavoro ”. Nemmeno risulta determinante l’informazione fornita dal curante di aver indirizzato la paziente ad un Centro del Dolore ed all’attenzione del reumatologo dr. med. __________, non emergendo alcuna nuova potenziale diagnosi né alcuna nuova informazione in merito alla capacità lavorativa dell’insorgente. Tutto bene considerato, ricordato il principio del libero apprezzamento delle prove valido (anche) nel diritto delle assicurazioni sociali (art. 61 lett. c in fine LPGA; STF 9C_549/2020 del 1. settembre 2021 consid. 3.1. e seg. e STCA 32.2022.39 del 17 ottobre 2022 consid. 2.7.2.), il TCA ritiene che i certificati dei curanti non siano idonei ad insinuare dubbi circa l’esaustività e correttezza delle conclusioni peritali. Ne consegue che la presa di posizione degli specialisti del __________ secondo cui “ non sono stati apportati nuovi elementi di pertinenza medica oltre a quelli già analizzati e valutati nel loro insieme nella perizia pluridisciplinare, che si è svolta in modo conforme alle linee guida e di cui confermiamo le conclusioni ” (doc. 168 incarto AI) appare corretta. Visto quanto precede, le conclusioni della perizia pluridisciplinare vanno integralmente confermate. 2.9.  In merito alla valutazione della capacità lavorativa quale casalinga, effettuata nell’ambito dell’istruttoria che ha preceduto l’emanazione della decisione 7 novembre 2023, il consulente __________, nell’inchiesta economica per le persone che si occupano dell’economia domestica del 3 maggio 2023, sulla base degli accertamenti esperiti presso il domicilio dell’assicurata ha stabilito un grado d’invalidità nell’attività di casalinga del 16.05% (doc. 155 incarto AI). L’insorgente, pur non censurando espressamente e puntualmente la valutazione del consulente, ha indicato di non essere d’accordo con “ la decisione che afferma la mia incapacità lavorativa al 16.05% ” (ovvero il grado d’invalidità quale casalinga), indicando di soffrire di “ dolori continui anche nel fare le piccole cose della quotidianità ”. Va anzitutto ricordato che, per quanto riguarda la determinazione dell'invalidità di persone occupate nell'economia domestica, il TFA (ora: TF) ha già avuto modo di stabilire che - in linea di massima e senza valide ragioni - non vi è motivo di mettere in dubbio le conclusioni delle inchieste effettuate dai servizi sociali, in quanto essi dispongono di collaboratori specializzati, il cui compito consiste nel procedere a tali inchieste (DTF 130 V 99s consid. 3.3.1; AHI-Praxis 1997 p. 291 consid. 4a; ZAK 1986 p. 235 consid. 2d; RCC 1984 p. 143, consid. 5; STFA 4 settembre 2001 nella causa S., consid. 4, I 175/01). Un intervento da parte dell'autorità giudiziaria nell'apprezzamento della persona incaricata dell'inchiesta si giustifica unicamente nei casi in cui esso appaia chiaramente erroneo (DTF 128 V 93 consid. 4; STFA I 681/02 dell’11 agosto 2003 consid. 2; cfr. anche STFA I 249/04 del 6 settembre 2004 consid. 5.1.1). A tal proposito va sottolineato che nell’inchiesta economica in questione è stata correttamente stabilita una ripartizione dei parametri di cui alle direttive (CIGI) attribuendo un valore complessivo del 100% all’insieme dei lavori abituali svolti dall’assicurata nell’ambito dell’economia domestica. Tale aspetto non è del resto stato contestato. Le valutazioni del consulente __________ risultano inoltre conformi alle circostanze ed ai riscontri concreti ed in particolare alle indicazioni fornite dall’assicurata nell’ambito dell’inchiesta. Per quanto attiene in particolare ai dolori lamentati, gli stessi sono stati riferiti nell’ambito dell’inchiesta (“ L’assicurata lamenta difficoltà nel cammino, portare pesi, fare le pulizie di casa. I dolori, generalizzati, sono sempre presenti ma a fasi alterne, giorni maggiori, giorni di minore intensità. (...) ”) e sono stati tenuti in considerazione dal consulente nella valutazione degli impedimenti nelle singole mansioni domestiche, le quali sono del tutto affidabili e compatibili con quanto accertato dal perito reumatologo, il quale ha stabilito un’inabilità medico teorica del 20% nello svolgimento delle mansioni casalinghe (cfr. supra consid. 2.7.; cfr. anche DTF 128 V 93; STF 9C_568/2017 dell’11 gennaio 2018; 9C_313/2007 dell’8 gennaio 2008 consid. 4.1; STCA 32.2018.209 del 14 ottobre 2019 consid. 2.15). Ne consegue che la generica contestazione della ricorrente, la quale non indica in che mansione e in quale misura le sue limitazioni sarebbero maggiori a quelle valutate dal consulente __________, va respinta. 2.10.  La ricorrente non contesta la valutazione economica sulla base della quale l’Ufficio AI ha determinato un grado d’invalidità del 58% dal 17 settembre 2019 al 17 marzo 2020 e del 16% a far tempo dal 18 marzo 2020, e questo Tribunale non ha motivo per discostarsene. 2.11.  Visto quanto precede, la decisione impugnata merita conferma mentre il ricorso va respinto. Secondo l’art. 69 cpv. 1 bis LAI in vigore dal 1. gennaio 2021 ed applicabile in concreto (cfr. anche la disposizione transitoria dell’art. 83 LPGA in combinazione con gli art. 61 lett. a e f bis LPGA nel tenore in vigore dal 1. gennaio 2021) la procedura di ricorso dinanzi al tribunale cantonale delle assicurazioni in caso di controversie relative a prestazioni dell’AI è soggetta a spese. L’entità delle spese è determinata fra 200 e 1000 franchi in funzione delle spese di procedura e senza riguardo al valore litigioso (cfr. DTF 133 V 402; STF 9C_156/2009 del 7 aprile 2009; STF 8C_393/2008 del 24 settembre 2008). Visto l’esito del ricorso, le spese per complessivi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