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32.2023.136 vom 26. Oktober 2023</w:t>
      </w:r>
    </w:p>
    <w:p>
      <w:r>
        <w:t>TI Tribunale d'appello, 2023-10-26, IT</w:t>
      </w:r>
    </w:p>
    <w:p>
      <w:r>
        <w:rPr>
          <w:b/>
        </w:rPr>
        <w:t xml:space="preserve">Quelle: </w:t>
      </w:r>
      <w:r>
        <w:t>https://mcp.opencaselaw.ch/entscheid/ti_gerichte_32.2023.136</w:t>
      </w:r>
    </w:p>
    <w:p>
      <w:r>
        <w:t>FR: TI_GERICHTE 32.2023.136 du 26 octobre 2023</w:t>
      </w:r>
    </w:p>
    <w:p>
      <w:r>
        <w:t>IT: TI_GERICHTE 32.2023.136 del 26 ottobre 2023</w:t>
      </w:r>
    </w:p>
    <w:p>
      <w:pPr>
        <w:pStyle w:val="Heading2"/>
      </w:pPr>
      <w:r>
        <w:t>Volltext</w:t>
      </w:r>
    </w:p>
    <w:p>
      <w:r>
        <w:t>Incarto n.32.2023.136</w:t>
      </w:r>
    </w:p>
    <w:p>
      <w:r>
        <w:t>FC</w:t>
      </w:r>
    </w:p>
    <w:p>
      <w:r>
        <w:t>Lugano</w:t>
      </w:r>
    </w:p>
    <w:p>
      <w:r>
        <w:t>30 gennaio 2024</w:t>
      </w:r>
    </w:p>
    <w:p>
      <w:r>
        <w:t>In nomedella Repubblica e CantoneTicino</w:t>
      </w:r>
    </w:p>
    <w:p>
      <w:r>
        <w:t>Il vicepresidente</w:t>
      </w:r>
    </w:p>
    <w:p>
      <w:r>
        <w:t>del Tribunale cantonale delle assicurazioni</w:t>
      </w:r>
    </w:p>
    <w:p>
      <w:r>
        <w:t>Giudice Raffaele Guffi</w:t>
      </w:r>
    </w:p>
    <w:p>
      <w:r>
        <w:t>con redattrice:</w:t>
      </w:r>
    </w:p>
    <w:p>
      <w:r>
        <w:t>Francesca Cassina-Barzaghini, cancelliera</w:t>
      </w:r>
    </w:p>
    <w:p>
      <w:r>
        <w:t>segretario:</w:t>
      </w:r>
    </w:p>
    <w:p>
      <w:r>
        <w:t>Gianluca Menghetti</w:t>
      </w:r>
    </w:p>
    <w:p>
      <w:r>
        <w:t>statuendo sul ricorso del 27 novembre 2023 di</w:t>
      </w:r>
    </w:p>
    <w:p>
      <w:r>
        <w:t>RI 1</w:t>
      </w:r>
    </w:p>
    <w:p>
      <w:r>
        <w:t>contro</w:t>
      </w:r>
    </w:p>
    <w:p>
      <w:r>
        <w:t>la decisione del 26 ottobre 2023 emanata da</w:t>
      </w:r>
    </w:p>
    <w:p>
      <w:r>
        <w:t>Ufficio assicurazione invalidità,6501 Bellinzona</w:t>
      </w:r>
    </w:p>
    <w:p>
      <w:r>
        <w:t>in materia di assicurazione federale per l'invalidità</w:t>
      </w:r>
    </w:p>
    <w:p>
      <w:r>
        <w:t>consideratoin fatto e in diritto</w:t>
      </w:r>
    </w:p>
    <w:p>
      <w:r>
        <w:t>che                         -  con decisione del 28 ottobre 2021 lUfficio AI, eseguiti gli accertamenti del caso, ha assegnato allassicurato il diritto ad una rendita intera (con grado dinvalidità del 73%) dal 1° luglio 2020, versata dal 1° agosto 2020 in ragione della tardività della domanda. Contestualmente lassicurato è stato diffidato ex art. 21 cpv. 4 LPGA a ridurre il danno, segnatamente mediante lassunzione continuativa di una terapia farmacologica stabilizzatrice del tono dellumore, associata allintroduzione di un neurolettico a basso dosaggio per contenere la tensione e limpulsività comportamentale (doc. AI pag. 223);</w:t>
      </w:r>
    </w:p>
    <w:p>
      <w:r>
        <w:t>-  nellottobre 2022 è stata avviata dufficio una revisione della prestazione, al termine della quale, mediante decisione del 26 ottobre 2023, confermativa di un progetto del 15 giugno 2023, lUfficio AI, come sanzione per la mancata collaborazione (in quanto la farmacoterapia assunta dallassicurato non si era rilevata adeguata/sufficiente per la cura del male giusta le conclusioni del SMR; Annotazioni del SMR del 10 maggio e 2 ottobre 2023, doc. AI pag. 280 e 293), ha ridotto del 20% il diritto alla rendita e, quindi, il grado dinvalidità dellassicurato è stato fissato al 57% dal 1° dicembre 2023 (doc. AI pag. 297 e 304);</w:t>
      </w:r>
    </w:p>
    <w:p>
      <w:r>
        <w:t>-  contro la suddetta decisione lassicurato, per il tramite dellavv. RA 1, ha interposto ricorso al TCA. Censura la violazione del diritto di essere sentito e, nel merito, nega la mancanza di collaborazione e rimprovera allUfficio AI di non aver tenuto debitamente conto di quanto da lui indicato nelle osservazioni al progetto di decisione e di non aver interpellato il medico curante. Chiede quindi lannullamento della decisione contestata e il ripristino del diritto alla rendita intera, postulando altresì il riconoscimento dellassistenza giudiziaria con gratuito patrocinio;</w:t>
      </w:r>
    </w:p>
    <w:p>
      <w:r>
        <w:t>-  nella risposta del 2 gennaio 2024 lUfficio AI ha comunicato di aver richiesto dalla cassa malati dellassicurato copia della distinta delle prestazioni erogate da gennaio 2022 a novembre 2023 (doc. IV/1), dalla quale emerge che egli  almeno dal mese di febbraio del 2023  effettua regolari sedute psicoterapiche e assume una terapia farmacologica divenuta vieppiù incisiva. Alla luce di tali dati, rilevato che la riduzione della rendita ha avuto effetto dal 1°dicembre 2023  ovvero in un periodo in cui l'assicurato stava rispettando la richiesta di cui alla diffida a cure (che, tecnicamente, non ha menzionato precise categorie di medicamenti da assumere)  lUAI è a proporre l'annullamento della decisione impugnata;</w:t>
      </w:r>
    </w:p>
    <w:p>
      <w:r>
        <w:t>-  lamministrazione ha pure ricordato che in virtù del principio di proporzionalità, quando vi è solo una momentanea mancata collaborazione, si deve infatti levare, rispettivamente rinunciare alla sanzione, se l'assicurato cambia opinione e collabora pienamente con le richieste dell'amministrazione (cfr. il DTF139 V 585 consid. 6.3.7.5). Considerato come lo psichiatra del SMR ha ritenuto ancora attuali le possibilità di miglioramento della capacità lavorativa prospettate nella perizia fatta eseguire dallamministrazione e ritenuto che l'esigibilità di una sottoposizione dell'assicurato a regolari visite psichiatriche/psicoterapiche e all'assunzione di una farmacoterapia era da considerare in concreto pacifica, ricordata anche la giurisprudenza relativa all'obbligo di ridurre il danno, lUfficio AI ha nondimeno precisato che è intenzione dell'UAl revisionare il diritto a prestazioni di RI 1 dopo 12 mesi dal termine del presente contenzioso;</w:t>
      </w:r>
    </w:p>
    <w:p>
      <w:r>
        <w:t>-  interpellato dal TCA, con scritto 11 gennaio 2024 il patrocinatore del ricorrente ha comunicato di aderire alla proposta formulata dallUfficio AI con risposta del 2 gennaio 2024, chiedendo lassegnazione di ripetibili (VI);</w:t>
      </w:r>
    </w:p>
    <w:p>
      <w:r>
        <w:t>-  ora, con la sua presa di posizione lUfficio AI ha in sostanza aderito alla richiesta ricorsuale, tendente allannullamento della decisione del 26 ottobre 2023 e il conseguente ripristino della rendita dinvalidità intera con un grado dinvalidità del 73%;</w:t>
      </w:r>
    </w:p>
    <w:p>
      <w:r>
        <w:t>-  giusta l'art. 69 cpv. 1bisLAI la procedura di ricorso dinanzi al tribunale cantonale delle assicurazioni in caso di controversie relative a prestazioni dellAI è soggetta a spese. Lentità delle spese è determinata fra 200 e 1000 franchi in funzione delle spese di procedura e senza riguardo al valore litigioso (DTF 138 V 122; 133 V 402; STF 9C_156/2009 del 7 aprile 2009 e 8C_393/2008 del 24 settembre 2008). Come la giurisprudenza federale ha avuto modo di precisare, le spesedevonoessere prelevate anche in caso di dispendio minimo (STF 9C_792/2011 del 21 febbraio 2012; STF 8C_163/2012 del 12 aprile 2012);</w:t>
      </w:r>
    </w:p>
    <w:p>
      <w:r>
        <w:t>-equivalendo lesito della presente procedura ad una soccombenza dellamministrazione,le spese per complessivi fr. 500 sono poste a carico dellUfficio AI, il quale verserà al ricorrente,patrocinato in causa da un avvocato, fr. 2'000 di ripetibili(art. 61 lett. g LPGA e art. 30 cpv. 1 Lptca), ciò che rende priva di oggetto la domanda di gratuito patrocinio formulata dal ricorrente (DTF 124 V 301 consid. 6 e STF 9C_274/2014 del 30 settembre 2014 consid. 5).</w:t>
      </w:r>
    </w:p>
    <w:p>
      <w:r>
        <w:t>Per questi motivi</w:t>
      </w:r>
    </w:p>
    <w:p>
      <w:r>
        <w:t>dichiara e pronuncia</w:t>
      </w:r>
    </w:p>
    <w:p>
      <w:r>
        <w:t>Per il Tribunale cantonale delle assicurazioni</w:t>
      </w:r>
    </w:p>
    <w:p>
      <w:r>
        <w:t>Il vicepresidente                                           Il segretario di Camera</w:t>
      </w:r>
    </w:p>
    <w:p>
      <w:r>
        <w:t>giudice Raffaele Guffi                                   Gianluca Menghetti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