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32.2023.121 vom 6. Oktober 2023</w:t>
      </w:r>
    </w:p>
    <w:p>
      <w:r>
        <w:t>TI Tribunale d'appello, 2023-10-06, IT</w:t>
      </w:r>
    </w:p>
    <w:p>
      <w:r>
        <w:rPr>
          <w:b/>
        </w:rPr>
        <w:t xml:space="preserve">Quelle: </w:t>
      </w:r>
      <w:r>
        <w:t>https://mcp.opencaselaw.ch/entscheid/ti_gerichte_32.2023.121</w:t>
      </w:r>
    </w:p>
    <w:p>
      <w:r>
        <w:t>FR: TI_GERICHTE 32.2023.121 du 6 octobre 2023</w:t>
      </w:r>
    </w:p>
    <w:p>
      <w:r>
        <w:t>IT: TI_GERICHTE 32.2023.121 del 6 ottobre 2023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novembre 2011, consid. 8.4, penultimo paragrafo; cfr. STCA 32.2021.104 del</w:t>
      </w:r>
    </w:p>
    <w:p>
      <w:r>
        <w:rPr>
          <w:b/>
        </w:rPr>
        <w:t>E. 14</w:t>
      </w:r>
    </w:p>
    <w:p>
      <w:r>
        <w:t>febbraio 2022; STCA 32.2020.12 del 7 settembre 2020, consid. 2.6; STCA 32.2018.53 del 18 febbraio 2019, STCA 32.2016.120 del 10 maggio 2017; STCA 32.2014.70 del 30 marzo 2015; STCA 32.2014.126 del 27 luglio 2015). 2.13. Secondo l'art. 69 cpv. 1 bis LAI la procedura di ricorso dinanzi al tribunale cantonale delle assicurazioni in caso di controversie relative a prestazioni dell’AI è soggetta a spese. L’entità delle spese è determinata fra 200 e 1000 franchi in funzione delle spese di procedura e senza riguardo al valore litigioso (cfr. DTF 133 V 402; STF 9C_156/2009 del 7 aprile 2009; STF 8C_393/2008 del 24 settembre 2008). Visto l’esito del ricorso le spese per complessivi fr. 500 sono poste a carico dell’UAI.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