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32.2023.117 vom 27. September 2023</w:t>
      </w:r>
    </w:p>
    <w:p>
      <w:r>
        <w:t>TI Tribunale d'appello, 2023-09-27, IT</w:t>
      </w:r>
    </w:p>
    <w:p>
      <w:r>
        <w:rPr>
          <w:b/>
        </w:rPr>
        <w:t xml:space="preserve">Quelle: </w:t>
      </w:r>
      <w:r>
        <w:t>https://mcp.opencaselaw.ch/entscheid/ti_gerichte_32.2023.117</w:t>
      </w:r>
    </w:p>
    <w:p>
      <w:r>
        <w:t>FR: TI_GERICHTE 32.2023.117 du 27 septembre 2023</w:t>
      </w:r>
    </w:p>
    <w:p>
      <w:r>
        <w:t>IT: TI_GERICHTE 32.2023.117 del 27 settembre 2023</w:t>
      </w:r>
    </w:p>
    <w:p>
      <w:pPr>
        <w:pStyle w:val="Heading2"/>
      </w:pPr>
      <w:r>
        <w:t>Erwägungen</w:t>
      </w:r>
    </w:p>
    <w:p>
      <w:r>
        <w:rPr>
          <w:b/>
        </w:rPr>
        <w:t>E. 17</w:t>
      </w:r>
    </w:p>
    <w:p>
      <w:r>
        <w:t>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alleperizie esperite nell'ambito della procedura amministrativa (art. 44 LPGA) o giudiziaria da medici specialisti esternideve essere riconosciuta piena forza probante nell'ambito dell'accertamento dei fatti, nella misura in cui non si presentano indizi concreti sull'affidabilità della perizia stessa (DTF 135 V 465 consid. 4.4 pag. 470; 125 V 351 consid. 3b/bb pag. 353;DTF 123 V 176; DTF 122 V 161, DTF 104 V 212;Pratique VSI 2001 pag. 109 consid. 3b)bb;Locher, Grundriss des Sozialversicherungs-rechts, 1994, pag. 332).Tali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w:t>
      </w:r>
    </w:p>
    <w:p>
      <w:r>
        <w:t>2.8.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3b;Locher/Gächter, Grundriss des Sozialversicherungsrechts, Berna 2014, pag. 98).</w:t>
      </w:r>
    </w:p>
    <w:p>
      <w:r>
        <w:t>Per l'art. 69 cpv. 1bisLAI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w:t>
      </w:r>
    </w:p>
    <w:p>
      <w:r>
        <w:t>Visto l'esito della vertenza, le spese per complessivi Fr. 500.-vanno poste a carico dell'insorgente, fermo restando la concessione dell'assistenza giudiziaria.</w:t>
      </w:r>
    </w:p>
    <w:p>
      <w:r>
        <w:t>"1L'assistenza giudiziaria si estende:</w:t>
      </w:r>
    </w:p>
    <w:p>
      <w:r>
        <w:t>- all'esenzione dagli anticipi e dalle cauzioni;</w:t>
      </w:r>
    </w:p>
    <w:p>
      <w:r>
        <w:t>- all'esenzione dalle tasse e spese processuali;</w:t>
      </w:r>
    </w:p>
    <w:p>
      <w:r>
        <w:t>- all'ammissione al gratuito patrocinio.</w:t>
      </w:r>
    </w:p>
    <w:p>
      <w:r>
        <w:t>2L'assistenza giudiziaria è concessa, su istanza, integralmente o in parte; se ne sono dati i presupposti, l'autorità è tenuta ad accordarla in modo parziale.</w:t>
      </w:r>
    </w:p>
    <w:p>
      <w:r>
        <w:t>3Essa è esclusa se la procedura non presenta possibilità di esito favorevole per l'istante.".</w:t>
      </w:r>
    </w:p>
    <w:p>
      <w:r>
        <w:rPr>
          <w:b/>
        </w:rPr>
        <w:t>E. 29</w:t>
      </w:r>
    </w:p>
    <w:p>
      <w:r>
        <w:t>cpv. 2 Cost. fed. (DTF 124 V 94 consid. 4b, 122 V 162 consid. 1d, 119 V 344 consid. 3c). 2.12.  Allo stesso modo, la ricorrente non è riuscita a mettere in dubbio le constatazioni e le conclusioni che la consulente ispettrice ha tratto dopo avere effettuato il 30 maggio 2023 un sopralluogo al suo domicilio per potere valutare le sue abilità nelle attività legate alla preparazione dei pasti, alla pulizia e al tenere in ordine la casa, all'effettuare acquisti e altre commissioni e al fare e stirare il bucato. Nel rapporto del 13 giugno 2023 dell'inchiesta economica per le persone che si occupano dell'economia domestica, preso atto del danno alla salute e delle limitazioni funzionali riassunte dal Servizio Medico Regionale, la consulente ispettrice ha stabilito la quota percentuale delle singole attività sul totale delle mansioni consuete (ponderazione senza disabilità) e, tenendo conto della situazione medica, ha indicato le attività che l'assicurata era totalmente o notevolmente impossibilitata a esercitare. Determinante è infatti il confronto delle attività effettive e non la valutazione medica dell'incapacità al lavoro. Essa ha fornito indicazioni precise sull'entità delle limitazioni dovute alla disabilità, sulla base delle quali ha poi determinato le limitazioni in percentuale per ogni settore d'attività (N. 3605 della Circolare sull'invalidità e sulla rendita nell'assicurazione per l'invalidità (CIRAI), valida dal 1° gennaio 2022, stato al 1° gennaio 2024). Il grado di disabilità nelle singole attività corrisponde al prodotto tra la ponderazione senza disabilità e la limitazione dovuta alla disabilità (N. 3607 CIRAI) e dalla somma di questi impedimenti l'assistente sociale è giunta a una invalidità nelle mansioni concrete del 20,56%. Secondo la giurisprudenza (STF 8C_620/2011 dell'8 febbraio 2012; STF 9C_201/2011 del 5 settembre 2011), in caso di divergenze considerevoli tra la valutazione della persona incaricata dell'accertamento e i pareri medici, si deve dare maggior peso alle indicazioni fornite dai medici specialisti per quanto riguarda la riduzione della capacità lavorativa dovuta ad aspetti psichici o cognitivi (N. 3606 CIRAI). Nel caso in esame, dagli accertamenti medici effettuati risulta che l'inabilità lavorativa medico-teorica è del 20% e, dal lato pratico, i danni alla salute accertati dai periti, e confermati dal Servizio Medico Regionale, danno luogo a un'invalidità del 20,56% nel compiere le mansioni consuete nell'economia domestica, con una preponderanza degli impedimenti riscontrata nell'effettuare le pulizie pesanti. In tal caso, quindi, non vi sono divergenze tra la valutazione resa dall'assistente sociale previo sopralluogo e le conclusioni medico-teoriche dell'SMR. Inoltre, l'insorgente non ha contestato né la ripartizione delle attività e le relative percentuali attribuite dalla consulente, né la determinazione degli impedimenti per ciascuna di esse come pure il grado di disabilità nelle singole attività. Di conseguenza, non emergendo delle incongruenze sull'operato dell'assistente sociale, non v'è ragione di scostarsene. A proposito del valore probatorio di un rapporto d'inchiesta dell'Ufficio AI, nella DTF 128 V 93 l'allora TFA (dal 1° gennaio 2007: Tribunale federale)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Alla luce di ciò, questo Tribunale non ha motivo per sovvertire le valutazioni dell'assistente sociale, che ha esaminato di persona la capacità residua dell'assicurata nelle mansioni consuete. La funzionaria, a prescindere dal fatto che sia alle dipendenze dell'amministrazione cantonale, ha agito in modo imparziale e professionale essendo specialista in materia e quindi nel pieno rispetto unicamente sia delle direttive sia della giurisprudenza (STCA 32.2020.134 del 26 aprile 2021, consid. 2.11; STCA 32.2020.51 del 29 ottobre 2020, consid. 2.18; STCA 32.2018.79 del 28 maggio 2019, consid. 2.18). Quest'ultima ha espletato il suo incarico sulla base delle emergenze mediche e ha correttamente applicato le direttive in materia per le persone assicurate occupate nell'economia domestica. Non vi è pertanto alcuna ragione per mettere in dubbio le sue conclusioni. Nell'inchiesta domiciliare in questione è stata correttamente stabilita una ripartizione delle singole attività domestiche nel rispetto dei parametri di cui ai NN. 3609-3611 CIRAI, attribuendo un valore complessivo del 100% all'insieme dei lavori abituali svolti dall'assicurata nell'ambito dell'economia domestica. L'allora Tribunale federale delle assicurazioni, nella sentenza I 102/00 del 22 agosto 2000 (citata anche al considerando 4.1 della STF 9C_896/2012 del 31 gennaio 2013), ha confermato la legittimità di queste direttive, in quanto il calcolo dell'invalidità giusta l'art. 27 OAI deve essere effettuato valutando l'attività domestica secondo l'importanza percentuale delle singole summenzionate mansioni nelle circostanze concrete. La valutazione dell'assistente sociale riportata nel rapporto del 13 giugno 2023 va pertanto senza alcun dubbio posta alla base della determinazione del grado di invalidità dell'assicurata. 2.13.  Sulla base del metodo specifico applicabile alla ricorrente (art. 28a cpv. 2 LAI), siccome va ritenuta casalinga al 100%, si ha che il grado di invalidità stabilito dall'inchiesta domiciliare è dunque del 20,56%, arrotondato al 21% e, come stabilito dall'Ufficio AI nella decisione del 27 settembre 2023, questo grado di invalidità non dà diritto alla ricorrente a una rendita. Da quanto precede discende che deve essere respinta la pretesa dell'insorgente di annullare la decisione impugnata e di rinviare gli atti all'Ufficio AI per ulteriori accertamenti medici e per emettere una nuova decisione che le attribuisca una rendita di invalidità. La decisione deve invece essere confermata. 2.14.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fermo restando la concessione dell'assistenza giudiziaria. 2.15.  Con il ricorso l'assicurata ha infatti postulato l'assistenza giudiziaria con gratuito patrocinio (doc. I), producendo la documentazione a comprova della sua indigenza (doc. X/1).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appariva, ad un sommario esame iniziale, non avendo l'assicurata apportato validi referti medici contrastanti il rapporto peritale bidisciplinare e il rapporto finale del Servizio Medico Regionale, del tutto privo di possibilità di esito favorevole (STF 9C_148/2021 del 25 ottobre 2021, consid. 5). L a domanda di assistenza giudiziaria e di gratuito patrocinio, f acendo difetto una delle tre condizioni cumulative preposte alla sua concessione, non merita quindi accoglimento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