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32.2022.80 vom 4. November 2022</w:t>
      </w:r>
    </w:p>
    <w:p>
      <w:r>
        <w:t>TI Tribunale d'appello, 2022-11-04, IT</w:t>
      </w:r>
    </w:p>
    <w:p>
      <w:r>
        <w:rPr>
          <w:b/>
        </w:rPr>
        <w:t xml:space="preserve">Quelle: </w:t>
      </w:r>
      <w:r>
        <w:t>https://mcp.opencaselaw.ch/entscheid/ti_gerichte_32.2022.80</w:t>
      </w:r>
    </w:p>
    <w:p>
      <w:r>
        <w:t>FR: TI_GERICHTE 32.2022.80 du 4 novembre 2022</w:t>
      </w:r>
    </w:p>
    <w:p>
      <w:r>
        <w:t>IT: TI_GERICHTE 32.2022.80 del 4 novembre 2022</w:t>
      </w:r>
    </w:p>
    <w:p>
      <w:pPr>
        <w:pStyle w:val="Heading2"/>
      </w:pPr>
      <w:r>
        <w:t>Erwägungen</w:t>
      </w:r>
    </w:p>
    <w:p>
      <w:r>
        <w:rPr>
          <w:b/>
        </w:rPr>
        <w:t>E. 12</w:t>
      </w:r>
    </w:p>
    <w:p>
      <w:r>
        <w:t>marzo 2012; STF 9C_807/2014 del 9 settembre 2015; STF 9C_585/2014 dell’8 settembre 2015). nel merito 2.2.  Oggetto del contendere è sapere se a giusta ragione o meno l’Ufficio AI ha limitato il diritto alla rendita al 30 aprile 2022 dopo aver calcolato un grado d’invalidità non pensionabile del 18% a far tempo dal 28 gennaio 2022. Va anzitutto rilevato che il 1. gennaio 2022, ossia prima dell’emanazione della decisione impugnata, è entrata in vigore una (importante) modifica della LAI e dell’OAI denominata “Ulteriore sviluppo dell’AI” e che concerne (anche) il diritto alla rendita (cfr. RU 2021 705). Nella DTF 148 V 162 consid. 3.2.1. il Tribunale federale formulato le seguenti precisazioni circa il diritto intertemporale: " Gemäss einer allgemeinen prozessualen Grundregel wird das anwendbare Recht durch den Zeitpunkt der Verfügung respektive – sofern diese angefochten ist – den Zeitpunkt des Einspracheentscheides bestimmt […]. 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 Zeitlicher Geltungsbereich und zeitlicher Anwendungsbereich können zusammenfallen, müssen dies aber nicht; insbesondere bei Dauersachverhalten sind sie zu unterscheiden. Weil das intertemporale Rechtsetzungsprimat beim Gesetzgeber liegt […],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Giusta la lett. c delle Disposizioni transitorie della modifica del 19 giugno 2020 (Ulteriore sviluppo dell’AI), “ Ai beneficiari di rendita il cui diritto alla rendita è nato prima dell’entrata in vigore della presente modifica e che all’entrata in vigore della presente modifica hanno 55 anni compiuti continua ad applicarsi il diritto anteriore ”. Tali persone, nate dal 1957 al 1966, fanno parte del cosiddetto “ Gruppo diritti acquisiti ” per cui la graduazione della rendita AI secondo il diritto anteriore è mantenuta fino al momento in cui il diritto alla rendita si estingue o le subentra una rendita di vecchiaia (cfr. Circolare sull’invalidità e sulla rendita nell’assicurazione invalidità (CIRAI), valida dal 1. gennaio 2022, stato al 1. luglio 2022, marginale 9200; cfr. anche Circolare concernente le disposizioni transitorie della riforma Ulteriore sviluppo dell’AI sul sistema di rendite lineare (C DT US AI), stato al 1. gennaio 2022 e valido da tale data, marginale 2002). In caso di modifica del grado d’invalidità, la rendita d’invalidità delle persone appartenenti al “ gruppo diritti acquisiti ” continua a essere fissata in base alla graduazione in quarti di rendita prevista dal diritto anteriore (rendita intera, tre quarti di rendita, mezza rendita, un quarto di rendita). A queste rendite resta integralmente applicabile il sistema di rendite in vigore fino al 31 dicembre 2021 (CD DT US AI, marginale 2003). Con scritto del 7 settembre 2022 destinato agli uffici AI (21/2022 Informativa per gli uffici AI: diritto transitorio per la valutazione del grado d’invalidità e la determinazione del diritto alla rendita (riforma Ulteriore sviluppo dell’AI)) ed inoltrato – dietro richiesta – il 5 ottobre 2022 al TCA, l’UFAS ha confermato che: " (…) in caso di prima concessione di una rendita si applicano le disposizioni in vigore al momento della nascita del diritto alla rendita”, ad eccezione dei casi di “prima concessione di una rendita con variazione del grado di invalidità o limitata nel tempo e nei casi di revisione, a quest’ultima fattispecie applicandosi le disposizioni in vigore al momento della modifica determinante”. Oltre a ciò, l’UFAS ha rilevato che “Nelle ultime settimane i tribunali cantonali hanno emanato diverse sentenze che hanno confermato, direttamente o indirettamente, la summenzionata regolamentazione di diritto intertemporale. Da queste sentenze si evince inoltre che i tribunali considerano il momento dell’emanazione della decisione impugnata quale limite temporale importante per l’esame dei fatti; tuttavia, non si può concludere su questa base che anche la determinazione del diritto applicabile dipenda dal momento dell’emanazione della decisione. In questo contesto, anzi, il momento aleatorio dell’emanazione della decisione è irrilevante per la determinazione del diritto applicabile, dato che presenta sempre un certo grado di arbitrarietà (DTF 139 V 263). Nell’ottica di un’applicazione uniforme del diritto a livello nazionale, vi chiediamo pertanto di esaminare le sentenze cantonali prestando particolare attenzione alla corretta interpretazione della menzionata regolamentazione di diritto intertemporale e, in caso di decisioni che vi derogassero, di vagliarne l’impugnazione dinanzi al Tribunale federale.” In concreto, l’assicurato ha presentato (la sua prima) domanda di prestazioni AI il 31 marzo/1. aprile 2020 (cfr. supra consid. 1.1.). L’incapacità lavorativa è stata accertata a far tempo da ottobre 2018 (cfr. supra consid. 1.3.). Trattandosi di una domanda tardiva, il diritto alle prestazioni AI è nato al più presto il 1. ottobre 2020 (cfr. supra consid. 1.3.). Conseguentemente, sia l’invalidità che l’asserito diritto alle prestazioni sono insorti entro il 31 dicembre 2021, sebbene la decisione di impugnata è stata emanata il 4 novembre 2022 (cfr. supra consid. 1.3. in fine). Per quanto attiene alla modifica del grado d’invalidità a far tempo dal 1. gennaio 2022 (cfr. supra consid. 1.3.), siccome in tale data l’assicurato aveva già compiuto i 55 anni (cfr. supra consid. 1.1. e infra consid. 2.7.), egli fa parte del “ gruppo diritti acquisiti ” per il quale si applica, di principio, il diritto previgente.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 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In concreto, ricevuta la domanda di prestazioni, al fine di accertare lo stato valetudinario dell’assicurato l’Ufficio AI ha sottoposto la refertazione medica acquisita agli atti al medico SMR, il quale si è espresso più volte sulle stesse (cfr. supra consid. 1.2. e seg). Il ricorrente contesta la valutazione medica posta alla base della decisione impugnata, osservando come le certificazioni mediche agli atti permettono di concludere per un (perdurante) grado d’invalidità di almeno 50%. Quo alla valutazione economica e per quel che è dato a capire, egli contesta l’integrabilità nel mercato del lavoro accertata dalla consulente in integrazione, in particolare in ragione della sua avanzata età (cfr. supra consid. 1.3., 1.4. e 1.6.). Questo Tribunale, chiamato a verificare se lo stato di salute del ricorrente sia stato accuratamente vagliato dal medico SMR prima dell’emanazione della decisione impugnata, dopo attenta analisi della documentazione medica agli atti, non ravvisa alcun motivo per metterne in dubbio le conclusioni. 2.6.2.  Il ricorrente non comprende anzitutto come mai a fronte di certificati medici che nell’arco di quattro anni hanno attestato incapacità lavorative dal 50% al 100% l’amministrazione ha “ definito il grado di invalidità al 18% ”. Dalle tavole processuali emerge che il ricorrente ha confuso il concetto di (grado di) incapacità lavorativa con quello di (grado di) invalidità ritenendoli intercambiabili. A tal proposito è sufficiente rinviare al consid. 2.3. (cfr. anche Merz, Arbeits- und Erwerbsunfähigkeit im Arbeitslosenversicherungsrecht, in: Zeitschrift für Arbeitsrecht und Arbeitslosenversicherung, 2018, pag. 269 e segg.), evidenziando come l’accertamento dell’incapacità lavorativa è una questione prettamente medica, quello del grado d’invalidità, per contro, è invece di natura giuridica ed è effettuato in genere confrontando i redditi da valido e da invalido (cfr. artt. 28a LAI, 16 e seg. LPGA), la percentuale così ottenuta poi andando a determinare l’eventuale diritto ad una rendita. In casu, sulla base di (pressoché) tutta la refertazione medica agli atti, il medico SMR ha accertato un’incapacità lavorativa del 50% in attività abituale (operatore ausiliario), mentre in un’attività adeguata ai limiti funzionali (cfr. supra consid. 1.2.) secondo il sanitario l’assicurato presenta una capacità lavorativa completa a far tempo dal 28 gennaio 2022 (cfr. supra consid. 1.3.). Il ricorrente contesta tale valutazione, rinviando in particolare ai certificati del curante dr. __________. A torto. Giova al proposito riproporre in sintesi la refertazione del curante. Nel rapporto medico del 4 novembre 2021 il curante ha indicato delle incapacità lavorative senza precisare a quale attività fosse riferita (doc. 36, pag. 179 incarto AI). Il rapporto del 18 marzo 2022 presenta il seguente tenore: “[…] Onestamente visto i disturbi non so fino a quanto il paziente riuscirà a riprendere un’attività lavorativa al 100%. […] probabilmente potrà continuare a lavorare al 50% ma non so fino a che punto potrà riprendere l’attività al 100%. ” (doc. 48, pag. 220 incarto AI, sottolineature del redattore). Ritenuto che, dal 16 marzo 2020 l’assicurato era ancora impiegato presso il precedente datore di lavoro nella misura del 50% (cfr. docc. 10, 11, 16, 30 incarto AI), l’indicazione del curante è da intendere come riferita all’attività abituale. A supporto di tale conclusione vi è anche quanto attestato nel rapporto del 15 giugno 2022 nel quale il curante ha comunicato all’Ufficio AI che “ Ritorno sulla mia valutazione in quanto il signor RI 1 non è più abile al 100% per quanto riguarda il problema all’anca destra, ma resta abile personalmente al 50% ed ho prolungato l’incapacità lavorativa fino a fine settembre 2022 ” (doc. 74 incarto AI, sottolineatura del redattore), mentre con rapporto del 5 ottobre 2022 il curante ha comunicato all’Ufficio AI che “ Sono a chiedervi a che punto siamo per la vostra rivalutazione in quanto personalmente non credo che il paziente possa ritornare a lavorare al 100% nella sua attività ma probabilmente a un 50%. ” (doc. 81 incarto AI, doc. I, allegato B, sottolineatura del redattore). Il rapporto del 4 ottobre 2022, prodotto solo con il ricorso (doc. I, allegato C), non fornisce alcuna indicazione, limitandosi ad accertare l’incapacità lavorativa dell’assicurato nella misura del 50% dal 1. ottobre 2022 al 31 dicembre 2022. E nemmeno il certificato del 20 dicembre 2022 inficia tale conclusione, il curante avendo riportato che “[…] in merito al paziente a margine che ho rivisto in data 15.12.2022, per valutare l’evoluzione di questa sintomatologia a livello dell’anca destra su cui non ritorno nell’anamnesi. Alla luce del mio esame clinico odierno a questo punto posso definitivamente affermare che il paziente non potrà più essere abile al lavoro al 100% ma solo ed esclusivamente nella misura del 50%. […]” (doc. VI 2, sottolineatura del redattore). Infine, si rileva che l’insorgente medesimo ammette che il curante non si è mai espresso circa la capacità lavorativa in attività adeguata (cfr. supra consid. 1.8.). Ne consegue che sia il medico SMR che il dr. __________ convengono sul fatto che l’insorgente presenta un’incapacità lavorativa del 50% nell’attività abituale (cfr. supra consid. 1.3.). Ma mentre il medico SMR ha accertato una capacità lavorativa completa in attività rispettosa dei limiti funzionali rilevati, il curante non si è mai espresso in proposito. Per quanto attiene alle ulteriori certificazioni agli atti, si rileva che nessuno degli specialisti a cui il ricorrente rinvia in modo generico ha mai accertato un’incapacità lavorativa in attività adeguate, limitandosi ad evidenziare il complesso quadro valetudinario afferente all’anca destra (cfr. ad esempio il rapporto del 30 marzo 2022 del dr. __________, doc. 52 incarto AI; rapporto del dr. __________ del 5 maggio 2020, doc. 7 incarto AI; rapporto del dr. __________, doc. 38, pag. 190 e segg. incarto AI). Tutto bene considerato, la documentazione a cui l’insorgente rinvia non permette di mettere in dubbio l’accertamento del medico SMR, che va pertanto confermato. 2.7.  Per quanto concerne la valutazione economica, il ricorrente censura la conclusione dell’Ufficio AI – basata sul rapporto della consulente in integrazione (cfr. supra consid. 1.2.) – secondo cui egli sarebbe reintegrabile nel mercato del lavoro, adducendo come l’avanzata età non gli permetterebbe di rientrare nel mercato del lavoro (cfr. supra consid. 1.4. e 1.8.). In concreto, preso atto del rapporto SMR del 26 ottobre 2020 (doc. 21 incarto AI), la consulente in integrazione ha così analizzato la reintegrabilità dell’assicurato senza (ri)formazione specifica (doc. 22 incarto AI, sottolineature del redattore): " Sulla base delle limitazioni date, vi sono attività esigibili, riconducibili alla categoria delle statistiche RSS svizzere in riferimento ad attività semplici e non qualificate. A titolo puramente di esempio e non esaustivo, si possono citare le seguenti attività, che non necessitano di alcuna formazione e per le quali l’assicurato sarebbe direttamente reintegrabile in un mercato del lavoro in equilibrio : - Addetto qualità/imballaggio/confezione: professione da svolgersi prevalentemente in posizione seduta. Il mansionario nel settore orologiero comprende il controllo qualitativo, estetico, la lucidatura, satinatura, … dei semilavorati. Si tratta di componenti di piccole dimensioni e le scatole non superano i 5 kg [carico massimo accertato dal medico SMR, n.d.r.], oltre a ciò raramente la manipolazione necessita di sollevarli al di sopra dei fianchi. - Addetto alla metallurgia meccanica nel settore industriale orologiero: la professione permette l’alternanza della postura al bisogno ed è prevalentemente sedentaria. Peso massimo e per brevi tragitti non superiore ai 5 kg e ausilio di carrelli. - Operaio generico nel settore della componentistica industriale: confezionamento di viti, bulloni e di tutta la componentistica necessaria al settore edile. Materiale di piccole dimensioni che non supera i 5 kg. - Venditore: in piccoli negozi, commerci o chioschi dove l’attività varia, suddivisa in momenti di riordino, esposizione prodotti, consulenza di vendita, incasso, … - Impiegato amministrativo per compiti semplici: piccole attività d’ufficio come riordino di merce venduta, controllo fatture, bolle di consegna, … […] A.to 57 enne, afc di pittore che a causa del danno alla salute risulta abile al 50% in attività abituale e al 100% in attività adeguata. Considerando il percorso formativo e professionale dell’A.to, l’età, e il fatto che risulta abile al 100% in attività adeguata rispettosa dei limiti funzionali segnalati dal medico SMR, non intravvedo provvedimenti professionali che migliorerebbero la sua capacità di guadagno residua . Considerando la presenza sul mercato libero del lavoro di sufficienti attività accessibili e confacenti con il danno alla salute, si ritiene che l’A. sia direttamente reintegrabile nel mercato del lavoro tramite gli usuali canali di collocamento . Qualora l’A. decidesse di cambiare attività resto a disposizione per eventuali provvedimenti di aiuto al collocamento.” Questo Giudice, per le ragioni di cui si dirà in appresso, non ha motivo di non aderire a quanto riportato sopra, rilevato come l’insorgente si è limitato ad una censura generica circa l’impossibilità di reintegrazione a causa dell’età avanzata. In effetti, secondo la giurisprudenza il consulente in integrazione professionale,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In casu, il consulente AI ha rispettato la citata giurisprudenza topica (cfr. STCA 32.2022.41 del 17 ottobre 2022 consid. 2.8.3.) Certo, l’assicurato, nato il __________ 1964 (doc. 8, pag. 78 incarto AI), al 28 gennaio 2022 – anno in cui da ultimo è stato ritenuto parzialmente abile in attività adeguate (cfr. in merito DTF 138 V 457 consid. 3.2.; cfr. supra consid. 1.3.) – aveva compiuto 57 anni ed è quindi lecito chiedersi se in un mercato equilibrato del lavoro simili attività siano da ritenere ancora esigibili. A tal proposito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Riguardo all'esigibilità, da parte di un assicurato di età avanzata, di reinserirsi professionalmente su un mercato equilibrato del lavoro, con la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Per un approfondimento della tematica dell’età quale fattore da tenere in considerazione nella determinazione della reintegrabilità, si rinvia in particolare alle STCA 32.2018.213 del 23 settembre 2019, 32.2018.106 del 13 dicembre 2018 e 32.2015.114 del 27 giugno 2016 con molteplici rinvii giurisprudenziali. Nel caso in esame, benché non disponga di ulteriori qualifiche oltre all’AFC di pittore, l’assicurato era al servizio dal 1996 quale operatore ausiliario presso il suo ultimo datore di lavoro, lavorando nella misura del 50% anche dopo l’insorgenza del danno alla salute, svolgendo lavori di “ Taglio erba e manutenzione terreni ”, “ Sgombero neve con fresa ”, “ Pulizia stabili ”, “ Lavori di tinteggio (pittore) ”, “ Aiuto manutenzioni meccaniche ” (cfr. docc. 10 e 11 incarto AI), ossia mansioni assai differenziate senza necessità di formazione specifica. Avendo svolto già in passato tali attività, quelle elencate a titolo esemplificativo dalla consulente in integrazione risultano sicuramente esigibili. Inoltre, come accertato (cfr. supra consid. 2.6.2.), le limitazioni fisiche non sono tali da precludere integralmente la reintegrazione in attività adeguate. In considerazione delle circostanze di cui sopra, questo Giudice ritiene provato con il grado della verosimiglianza preponderante valido nelle assicurazioni sociali (DTF 138 V 218 consid. 6. e 129 V 56 consid. 2.4.), che in concreto l’età dell’assicurato e i suoi limiti funzionali non ostano allo svolgimento delle attività che la consulente ha indicato, tra cui possono essere annoverate anche attività di sorveglianza e controllo che non comportano aggravi fisici e che consentono il cambiamento frequente di posizione (cfr. STCA 32.2021.64 del</w:t>
      </w:r>
    </w:p>
    <w:p>
      <w:r>
        <w:rPr>
          <w:b/>
        </w:rPr>
        <w:t>E. 18</w:t>
      </w:r>
    </w:p>
    <w:p>
      <w:r>
        <w:t>ottobre 2021 consid. 2.13.). La valutazione dell’Ufficio AI, rispettivamente della consulente in integrazione va pertanto confermata. Visto quanto precede, la censura del ricorrente risulta, oltre che non sufficientemente sostanziata, inconferente. 2.8.  Visto tutto quanto precede, il ricorso va integralmente respinto e la decisione impugnata confermata. 2.9.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