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32.2022.50 vom 30. Juni 2022</w:t>
      </w:r>
    </w:p>
    <w:p>
      <w:r>
        <w:t>TI Tribunale d'appello, 2022-06-30, IT</w:t>
      </w:r>
    </w:p>
    <w:p>
      <w:r>
        <w:rPr>
          <w:b/>
        </w:rPr>
        <w:t xml:space="preserve">Quelle: </w:t>
      </w:r>
      <w:r>
        <w:t>https://mcp.opencaselaw.ch/entscheid/ti_gerichte_32.2022.50</w:t>
      </w:r>
    </w:p>
    <w:p>
      <w:r>
        <w:t>FR: TI_GERICHTE 32.2022.50 du 30 juin 2022</w:t>
      </w:r>
    </w:p>
    <w:p>
      <w:r>
        <w:t>IT: TI_GERICHTE 32.2022.50 del 30 giugno 2022</w:t>
      </w:r>
    </w:p>
    <w:p>
      <w:pPr>
        <w:pStyle w:val="Heading2"/>
      </w:pPr>
      <w:r>
        <w:t>Regeste</w:t>
      </w:r>
    </w:p>
    <w:p>
      <w:r>
        <w:t>Terza richiesta di prestazioni accolta con assegnazione di una mezza rendita. Assicurata contesta la valutazione medica e chiede rendita intera. Ricorso respinto</w:t>
      </w:r>
    </w:p>
    <w:p>
      <w:pPr>
        <w:pStyle w:val="Heading2"/>
      </w:pPr>
      <w:r>
        <w:t>Erwägungen</w:t>
      </w:r>
    </w:p>
    <w:p>
      <w:r>
        <w:rPr>
          <w:b/>
        </w:rPr>
        <w:t>E. 1</w:t>
      </w:r>
    </w:p>
    <w:p>
      <w:r>
        <w:t>Per valutare il grado d’invalidità di un assicurato che esercita un’attività lucrativa si applica l’articolo 16 LPGA. Il Consiglio federale definisce i redditi lavorativi determinanti per la valutazione del grado d’invalidità e i fattori di correzione applicabili.</w:t>
      </w:r>
    </w:p>
    <w:p>
      <w:r>
        <w:rPr>
          <w:b/>
        </w:rPr>
        <w:t>E. 2</w:t>
      </w:r>
    </w:p>
    <w:p>
      <w:r>
        <w:t>Il grado d’invalidità dell’assicurato che non esercita un’attività lucrativa ma svolge le mansioni consuete e dal quale non si può ragionevolmente esigere che intraprenda un’attività lucrativa è valutato, in deroga all’artico­lo 16 LPGA, in funzione dell’in­capacità di svolgere le mansioni consuete.</w:t>
      </w:r>
    </w:p>
    <w:p>
      <w:r>
        <w:rPr>
          <w:b/>
        </w:rPr>
        <w:t>E. 2.4</w:t>
      </w:r>
    </w:p>
    <w:p>
      <w:r>
        <w:t>Q ualora l'amministrazione entra nel merito di una nuova domanda di prestazioni, essa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 8; Rüedi, Die Verfügungsanpassung als Grundfigur von Invalidenrenten-revisionen, in Schaffauser/ Schlauri, Die Revision von Dauerleistungen, Veröffentlichungen des Schweizerischen Instituts für Verwaltungskurse an der Uni St. Gallen, 1999, p. 15; DTF 117 V 198).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2.5</w:t>
      </w:r>
    </w:p>
    <w:p>
      <w:r>
        <w:t>e STFA U 202/01 del 7 dicembre 2001; cfr. consid. 2.5; sia pure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le certificazioni della dr.ssa __________ e della dr.ssa __________ non consentono pertanto di dipartirsi dalle conclusioni chiare e coerenti del SMR.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In conclusione, rispecchiando le valutazioni del SMR del 13 aprile e 21 giugno 2022 tutti i criteri di affidabilità e completezza richiesti dalla giurisprudenza (cfr. consid. 2.5) e non essendo provato un peggioramento duraturo e incidente sulla capacità lavorativa, intervenuto prima della decisione contestata del 30 giugno 2022 (la quale delimita, come detto, il potere cognitivo del giudice delle assicurazioni sociali, cfr. DTF 132 V 220 consid. 3.1.1), richiamato pure l'obbligo che incombe ad ogni assicurato di intraprendere tutto quanto sia ragionevolmente esigibile per ovviare alle conseguenze del possibile discapito economico cagionato dal danno alla salute (DTF 123 V 233 consid. 3c, 117 V 278 consid. 2b, 400 e riferimenti), il TCA ritiene dimostrato con il grado della verosimiglianza preponderante valido nell'ambito delle assicurazioni sociali (DTF 138 V 218 consid. 6, 126 V 360) che le condizioni dell’assicurata hanno subito, rispetto alle precedenti decisioni del 8 novembre 2018 e 14 ottobre 2020, un peggioramento con l’insorgenza di affezioni psichiche che hanno determinato, unitamente alle problematiche oftalmologiche rimaste stazionarie, una conseguente inabilità lavorativa del 50% in ogni attività dal gennaio 2021. La refertazione medica agli atti contiene quindi elementi chiari e sufficienti per valutare l'incapacità al guadagno dell'assicurata sino all'emanazione della decisione contestata,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Un tale modo di procedere non lede il diritto di essere sentito conformemente all'art. 29 cpv. 2 Cost. (SVR 2001 IV no. 10 p. 28 consid. 4b; riguardo al previgente art.</w:t>
      </w:r>
    </w:p>
    <w:p>
      <w:r>
        <w:rPr>
          <w:b/>
        </w:rPr>
        <w:t>E. 3</w:t>
      </w:r>
    </w:p>
    <w:p>
      <w:r>
        <w:t>Se l’assicurato esercita un’attività lucrativa a tempo parziale o collabora gratuitamente nell’azienda del coniuge, il grado d’invalidità per questa attività è valutato se­condo l’articolo 16 LPGA. Se svolge anche le mansioni consuete, il grado d’invali­dità per questa attività è valutato secondo il capoverso 2. In tal caso, occorre determinare la parte dell’attività lucrativa o della collaborazione gratuita nell’azienda del coniuge e la parte dello svolgimento delle mansioni consuete e valutare il grado d’invalidità nei due ambiti.” In merito al confronto dei redditi, il nuovo art. 25 OAI, anch’esso in vigore dal 1. gennaio 2022, stabilisce tra l’altro che “ i redditi lavorativi determinanti secondo l’articolo 16 LPGA vanno stabiliti su una base temporale identica e tenendo conto del mercato del lavoro in Svizzera ” (cpv. 2) e che se per la determinazione dei redditi lavorativi determinanti si impiegano valori statistici “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 (cpv. 3), dovendosi inoltre adeguare i valori statistici “ in funzione della durata di lavoro normale nelle aziende secondo le divisioni economiche e dell’evoluzione dei salari nominali ” (cpv. 4).</w:t>
      </w:r>
    </w:p>
    <w:p>
      <w:r>
        <w:rPr>
          <w:b/>
        </w:rPr>
        <w:t>E. 4</w:t>
      </w:r>
    </w:p>
    <w:p>
      <w:r>
        <w:t>cpv. 1 v Cost., cfr. DTF 124 V 94 consid. 4b, 122 V 162 consid. 1d). Le richieste della ricorrente intese all’effettuazione di ulteriori accertamenti medici non possono quindi essere accolte. 2.10.  Per quel che concerne l’aspetto economico (rimasto sostanzialmente incontestato, la ricorrente limitandosi a contestare la possibilità di esercitare le attività lavorative menzionate dalla consulente professionale e di cui si dirà al consid. 2.11), alla valutazione esperita dall’Ufficio AI va prestata integrale adesione. Conformemente agli art. 25 LAI, art. 28a OAI segg e all’art. 16 LPGA (cfr. consid. 2.2), la stessa ha in effetti correttamente raffrontato un reddito da valida di fr. 49’767.- (determinato considerando i valori statistici ipoteticamente conseguibili nel 2020 da personale femminile in attività semplici e ripetitive della categoria 96, ovvero “Altre attività di servizi personali”) a un reddito da invalida di fr. 25’040.- (determinato partendo dai fr. 55'643.70 statisticamente conseguibili nel 2020 da personale femminile in attività semplici e ripetitive, ritenute esigibili dall’assicurata in base alle suesposte conclusioni medico teoriche, e riducendo tale importo del 10% per tenere conto delle limitazioni da osservare e, inoltre, della metà per tener conto della capacità lavorativa del 50%), ottenendo un grado d’invalidità del 50% ([49’767- 25’040 ] x 100 : 49’767 = 50%), che conferisce il diritto ad una mezza rendita d’invalidità. Tale calcolo, rimasto come detto incontestato, ha applicato correttamente le nuove norme applicabili dal 1. gennaio 2022 in materia di valutazione del grado di invalidità (art. 28a LAI, art. 25-26bis OAI; cfr. al consid. 2.3; cfr. anche la giurisprudenza del TF riassunta nella STF 9C_501/2013 del 28 novembre 2013), facendo peraltro capo, per quanto riguarda i salari applicati, ai dati salariali statistici ufficiali (riguardo all’applicabilità dei dati salariali nazionali risultanti dalla tabella di riferimento TA1 dell’inchiesta sulla struttura dei salari, e meglio i dati salariali forniti dalla la RSS TA1-tirage skill level Svizzera, emanata dall'Ufficio federale di statistica di Berna, cfr. anche la giurisprudenza del TF, in particolare DTF 142 V 178 consid. 2.5.7, 128 V 174; a proposito della rilevanza delle condizioni salariali nel settore privato, cfr. anche RAMI 2001 U 439, pagg. 347ss. e SVR 2002 UV 15, pagg. 47ss). 2.11.  La consulente in integrazione professionale, nel rapporto finale del 17 maggio 2022 (doc. AI pag. 505), dopo aver elencato le limitazioni funzionali che l’assicurata doveva osservare (“ Monocolo funzionale, Attività che non richiedono visione binoculare o stereoscopica. Non possibile svolgere lavori di precisione. L'assicurata presenta una ridotta attenzione e concentrazione, soffre di facile affaticabilità, ridotta energia, difficoltà nella relazione con gli altri” ), ha osservato quanto segue: " Sulla base delle limitazioni indicate a livello medico teorico esistono attività riconducibili alle statistiche svizzere RSS in relazione ad attività semplici, adeguate e ripetitive per le quali l'assicurata sarebbe direttamente reintegrabile. Senza dimenticare che esiste ancora la possibilità medico teorica di esercitare la precedente professione sebbene in misura parziale. Oltre all'attività di riferimento dunque, esistono attività quali: - Addetta all’imbottigliamento su postazione fissa e ripetitiva. In tale attività l’assicurata si troverebbe in postazione autonoma e non dovrà camminare, bensì trovandosi all'inizio del circuito produttivo inserire le bottiglie vuote del peso massimo di 1 kg all'imbocco del macchinario, ovvero su rullo trasportatore. - Addetta di produzione su postazione fissa e autonoma per la produzione automatizzata di prodotti finiti, quali ad esempio tavolette di cioccolata. Anche in questo caso l’assicurata avrebbe una sua postazione fissa dove non dovrà spostarsi ma solo verificare che la produzione prosegua. - Addetta all'impacchettamento, ad esempio di tavolette di cioccolata al fondo della produzione. L'attività in postazione autonoma consiste nel porre l'etichetta esterna sulle tavolette di cioccolata finite che escono dalla produzione già con la carta di alluminio. Per quanto riguarda dunque il mercato del lavoro in equilibrio esistono attività semplici e ripetitive per le quali l’assicurata sarebbe direttamente reintegrabite senza l'intervento del nostro Ufficio.” E su eventuali provvedimenti d’integrazione così si è espressa: " Trattasi di assicurata quasi 59 enne che può ancora svolgere in misura parziale l'attività di riferimento, ad esempio in uffici o centri diurni e risulta abile nella stessa misura in attività adeguate al suo stato di salute. Tutte le attività indicate appartengono alla categoria delle statistiche svizzere RSS semplici e non qualificate e richiedono una breve introduzione aziendale. Non si ritiene che vi siano le premesse per un provvedimento d'integrazione in senso classico. Si rimane tuttavia a disposizione, su richiesta per un aiuto al collocamento.” (doc. AI pag. 506) Al riguardo va osservato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coperta dall’assicurazione contro la disoccupazione e non dall’assicurazione contro l’invalidità (DTF 110 V 276 consid. 4c; RCC 1991 pag. 332 consid. 3b; Omlin, Die Invalidität in der obligatorischen Unfallversicherung, Friborgo 1995, pag. 83) – che la ricorrente sia in grado di mettere a frutto la sua residua capacità lavorativa, oltre che nella precedente attività lavorativa, anche in attività professionali idonee. Del resto deve essere ricordato che il principio dell’esigibilità configura un aspetto di quello della proporzionalità. Questo principio permette di pretendere da una persona un determinato comportamento anche se presenta degli inconvenienti,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Detta ipotesi (reintegrabilità sul mercato normale del lavoro) è confermata anche dal fatto che spetta essenzialmente al consulente professionale, che meglio di chiunque altro è in grado di emettere una valutazione a proposito delle attività economiche entranti in linea di conto nonostante il danno alla salute e l'età (STF 9C_439/2011 del 29 marzo 2012 consid. 5; 9C_949/ 2010 del 5 luglio 2011; RtiD II-2008 pag. 274 consid. 4.3), e non al medico, avuto riguardo alle indicazioni e limitazioni mediche, valutare quali attività professionali siano concretamente ipotizzabili (STF 9C_986/2010 dell'8 novembre 2011 consid. 3.5). Nel caso in esame, nel succitato rapporto finale del 17 maggio 2022 (doc. AI pag. 505), la consulente in integrazione ha indicato delle attività confacenti allo stato di salute dell’assicurata. Allo stesso va prestata adesione, essendo peraltro pacifico che per la consulente era senza dubbio possibile trarre le conclusioni del caso sulla base di un’attenta valutazione degli atti e anche senza ulteriore incontro con l’assicurata. Occorre inoltre ancora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Del resto, il TF ed il TCA hanno già avuto modo di confermare la possibilità di svolgere attività leggere in maniera completa per persone che presentavano limitazioni importanti.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delle due spalle; STF I 356/04 del 12 maggio 2005, consid. 2.2 e 3.1). Con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D’altra parte, come già ampiamente ricordato al consid. 2.9.1, la giurisprudenza ha più volte confermato che gli assicurati che lamentano la perdita dell'acuità visiva di un occhio sono in grado di attendere alla maggior parte delle attività professionali, escluse quelle che richiedono una visione binoculare (cfr. STCA 32.2014.71 del 30 marzo 2015; 32.2010.82 del 3 febbraio 2011; STF I 222/06 del 10 luglio 2007 consid. 3 con riferimento a RAMI 1986 no. U 3 pag. 258 consid. 2b p. 260 seg). In concreto questo Tribunale ritiene che anche nel caso di specie all’assicurata può essere richiesto di sfruttare la sua residua capacità lavorativa, oltre che nella sua attività di ausiliaria di pulizie, anche in quei settori d’attività accessibili a lavoratori non qualificati, con mansioni semplici e ripetitive, che non richiedono una preparazione professionale specifica ma possono essere esercitate dopo una semplice introduzione al posto di lavoro ed un breve periodo di rodaggio. N on vi sono pertanto motivi per scostarsi dalla valutazione della consulente in integrazione professionale, effettuata peraltro da una persona con esperienza in ambito integrativo. In questo senso va confermata la reintegrabilità dell’insorgente senza la necessità di provvedimenti professionali. Inoltre, nel suo rapporto del 17 maggio 2022 la consulente professionale ha precisato di restare a disposizione dell’assicurata per un aiuto al collocamento (doc. AI pag. 506), disponibilità questa che, seppur non ripresa espressamente nella decisione contestata, è pure stata confermata dall’Ufficio AI in sede di risposta di causa (doc. IV). 2.12.  L ’amministrazione ha pertanto rettamente ammesso l’intervento di un peggioramento delle condizioni di salute dell’assicurata e di conseguenza assegnato il diritto a una mezza rendita dal 1. gennaio 2022. La decisione impugnata merita pertanto conferma, mentre il ricorso va respinto. 2.13.  Secondo l'art. 69 cpv. 1bis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