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32.2022.37 vom 13. Mai 2022</w:t>
      </w:r>
    </w:p>
    <w:p>
      <w:r>
        <w:t>TI Tribunale d'appello, 2022-05-13, IT</w:t>
      </w:r>
    </w:p>
    <w:p>
      <w:r>
        <w:rPr>
          <w:b/>
        </w:rPr>
        <w:t xml:space="preserve">Quelle: </w:t>
      </w:r>
      <w:r>
        <w:t>https://mcp.opencaselaw.ch/entscheid/ti_gerichte_32.2022.37</w:t>
      </w:r>
    </w:p>
    <w:p>
      <w:r>
        <w:t>FR: TI_GERICHTE 32.2022.37 du 13 mai 2022</w:t>
      </w:r>
    </w:p>
    <w:p>
      <w:r>
        <w:t>IT: TI_GERICHTE 32.2022.37 del 13 maggio 2022</w:t>
      </w:r>
    </w:p>
    <w:p>
      <w:pPr>
        <w:pStyle w:val="Heading2"/>
      </w:pPr>
      <w:r>
        <w:t>Erwägungen</w:t>
      </w:r>
    </w:p>
    <w:p>
      <w:r>
        <w:rPr>
          <w:b/>
        </w:rPr>
        <w:t>E. 29</w:t>
      </w:r>
    </w:p>
    <w:p>
      <w:r>
        <w:t>cpv. 1 LPGA, ma al più presto a partire dal mese seguente il compimento dei 18 anni (art. 29 cpv. 1 LAI).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29, consid. 1, 104 V 135 consid. 2a e 2b; Pratique VSI 2000 pag. 84 consid. 1b)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regesto della DTF 129 V 222). Inoltre, nel confronto dei redditi, secondo la giurisprudenza federale – di regola – non si tiene conto di fattori estranei all’invalidità, come ad esempio la formazione professionale, le attitudini fisiche e psichiche e l’età dell’assicurato (RCC 1989, pag. 325; DTF 107 V 17, consid. 2c confermata dall'allora TFA [dal 1. gennaio 2007: TF] con sentenza U 156/05 del 14 luglio 2006, consid. 5 ;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L’Alta Corte ha stabilito che i due redditi, dalla cui differenza emerge il grado dell'incapacità di guadagno, vanno stabiliti in maniera precisa. Se ciò non fosse possibile, devono essere calcolati sulla base di una valutazione fondata sulle circostanze concrete (SVR 1996 IV Nr. 74 consid. 2a, DTF 114 V 310 consid. 3a). 2.3.  Nel caso concreto, con lo scopo di valutare la situazione medica e la capacità lavorativa dell’assicurata, l’Ufficio AI ha conferito mandato al __________ di allestire una perizia pluridisciplinare. Dal rapporto datato 27 agosto 2021 (doc. 80) risulta che i periti, oltre ad aver proceduto ad una valutazione internistica a cura della dr.ssa __________, hanno fatto capo a consultazioni specialistiche esterne di natura cardiologica (dr. med. __________), gastroenterologica (dr. med. __________), neurologica (dr. med. __________), reumatologica (dr. med. __________), psichiatrica (dr. med. __________) e oftalmologica (dr.ssa med. __________), riassumendo ogni singolo consulto (cfr. pagg. 71 – 83 della perizia) ed allegando i relativi rapporti (pagg. 370 – 676). Dopo aver esposto la consueta anamnesi (familiare, personale-sociale, professionale, patologica e sistemica), i disturbi soggettivi e le affezioni attuali e dopo aver proceduto alla descrizione della giornata e continuato con le constatazioni obiettive, i periti, fondandosi su un'esauriente discussione avvenuta il 16 agosto 2021, hanno posto le seguenti diagnosi: " (…) B.1 Diagnosi rilevanti con ripercussioni sulla capacità lavorativa Fibromialgia DD di tipo primario o in relazione con una eventuale sindrome di Behçet. Probabile morbo di Behçet con aftosi orale recidivante e stato dopo aftosi genitale, ma senza segni endoscopici o istologici per coinvolgimento del tratto gastrointestinale. Stato dopo adesiolisi su aderenze, in stato dopo infezione da Chlamydia nel 2017. Sospetta retinopatia bilaterale da Morbus Behçet (2019). F41.2 Sindrome mista ansioso depressiva. Sindrome del colon irritabile con stitichezza. (…)” (pag. 344 inc. AI) Sono state inoltre rilevate le seguenti diagnosi senza influsso sulla capacità lavorativa: " (…) B.2   Diagnosi rilevanti senza ripercussioni sulla capacità lavorativa Stabilità di un meningioma calcifico della volta cerebrale parietale e paramediano ds. Cervico-toraco lombalgie nell’ambito della diagnosi di fibromialgia e su delle discopatie lombari L4-L5 e iniziali alterazioni degenerative alla colonna cervicale. Intolleranza al lattosio anamnestica. Sensibilità al glutine. Lieve sindrome emorroidale. Leggera dilatazione del ventricolo sinistro di natura aspecifica. Ipercolesterolemia. Ipermetropia, astigmatismo misto. Aderenza intra-addominale in esiti di infezione di chlamydia trachomatis gennaio 2017 con esiti di laparoscopia operativa, adesiolisi estesa, abrazione di cisti annessiale sin. e revisione del tenue del quadro colico 29.5.2017. Chirurgia otorino di polipi nasali e otoplastica complicata da multipli reinterventi di infezione. Note marische anali. Stato dopo paralisi corda vacale sin. idiopatica. Stato dopo protesi mammaria 2015. Intolleranza e allergie: Penicillina, Flagyl, mezzi di contrasto iodati, Tramal, glucosio, glutine e lattosio. Stato dopo nevralgia trigeminale II e III branca a ds. il luglio 2011. Disturbo del comportamento alimentare non specificato. Diastasi ai muscoli retto-addominali in regione sovra-ombelicale e intra-ombelicale. Condrite del padiglione auricolare ds. in esiti di revisione di setto-rinoplastica il 20.6.2016. Stato dopo tonsillectomia. Stato dopo due aborti spontanei nel 2010. Eventuale epilessia della prima infanzia trattata in __________ per due anni con Depakin e Gardenale, senza epilessia attuale. (…)” (pag. 344-345 inc. AI) In merito alle limitazioni dovute alle succitate affezioni, i periti del __________ hanno rilevato: " (…) C      Ripercussioni funzionali dei reperti / delle diagnosi Per l’aspetto reumatologico l’A. è limitata da dolori diffusi, dalla stanchezza cronica, dall’affaticamento rapido e dai disturbi del sonno, dalle cefalee e dal malessere in generale. Per quanto attiene le patologie di tipo somatico reumatologico inerenti la colonna vertebrale, le articolazioni e la componente muscolare non vi sarebbero controindicazioni per una ripresa dell’attività professionale. Sul piano psichico l’A. presenta un leggero screzio depressivo e preoccupazioni rispetto alla propria salute fisica. Sia l’alterazione del tono dell’umore che l’ansia non sono di intensità tale da dover formulare diagnosi separate. Si tratta comunque di sintomi di lieve entità, che non hanno mai richiesto un intervento specialistico rilevante e sono condizionati dalla polipatologia somatica. L’A. presenta un’ampia costellazione di sintomi fisici, per i quali non riesce a trovare dei rimedi efficaci. Questo fatto polarizza la sua attenzione e accentra gran parte delle sue energie. La conseguenza, a livello psichico, è lo sviluppo di una lieve sintomatologia ansioso depressiva reattiva. Sul piano gastroenterologico quanto l’A. ha dei momenti con importante aftosi riesce meno bene ad alimentarsi contemporaneamente tende ad aumentare i dolori addominali. In questi periodi vi è una limitazione della capacità di rendimento anche per diverse giornate. Limitazione che può esser quantificata nell’ordine del 10-20%. Per gli aspetti di competenza del perito internista non vi sono ripercussioni funzionali per le diagnosi di sua competenza. (…)” (pag. 346 inc. AI) I periti hanno in seguito proceduto alla verifica della coerenza dei dati (cfr. punto F della perizia). Globalmente essi hanno infine concluso per un’inabilità del 35% nell’abituale professione di ausiliaria panettiera. In attività adeguate, rispettose dei limiti funzionali, l’assicurata è stata ritenuta abile al 70%. In particolare i periti hanno evidenziato: " (…) L’attività adeguata dal lato psichico dovrebbe prevedere sufficientemente pause e dovrebbe essere un’attività da gestire con una certa autonomia da parte dell’A. Per quanto attiene le altre specialità lavorative l’attività adeguata dovrebbe rispettare conoscenze scolastiche, l’esperienza dell’A. senza altri requisiti particolari. Per l’aspetto oftalmologico l’A. può svolgere attività, che non richiedono la presenza di agenti esterni, che diminuiscono la lubrificazione corneale. (…)” (pag. 350 inc. AI) La perizia __________ è stata avvallata dal SMR con rapporto 31 agosto 2021 (doc. 82). Con annotazioni 20 novembre 2021 il SMR ha preso posizione in merito ai nuovi rapporti medici prodotti dall’assicurata, ritenendo che gli stessi non modificano le conclusioni della perizia __________ (doc. 87). Con complemento peritale 14 aprile 2022 il __________ ha trasmesso al SMR le osservazioni del perito reumatologo e della perita oftalmologa in merito al rapporto 22 febbraio 2022 del prof. dr.med. __________, specialista in allergologia e immunologia clinica nonché in medicina interna di __________, i quali hanno confermato le loro rispettive valutazioni peritali (doc. 104). La ricorrente contesta la valutazione medico-teorica riguardante la capacità lavorativa. 2.4.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2.5.  Nella fattispecie in esame questo Tribunale, chiamato a verificare se lo stato di salute dell’assicurata è stato accuratamente vagliato dall’Ufficio AI, non ha motivo per mettere in dubbio la perizia pluridisciplinare del 27 agosto 2021 (ed il relativo complemento peritale del 14 aprile 2022), in quanto va considerata dettagliata, approfondita e quindi rispecchiante i parametri giurisprudenziali ricordati al considerando precedente. In effetti, i periti hanno considerato tutta la documentazione medica agli atti e l’insorgente non ha prodotto documentazione specialistica atta a mettere in dubbio le conclusioni a cui essi sono giunti. In particolare, con il ricorso l’insorgente ha nuovamente prodotto il rapporto 22 febbraio 2022 del prof. med. __________ (doc. D) e, quale nuovo atto medico, quello del 26 ottobre 2021 del dr. __________, attivo presso la Clinica di riabilitazione di __________. Per quanto concerne il primo rapporto, questo TCA non può che fare riferimento e prestare adesione alla presa di posizione del 10 marzo 2022 del perito reumatologo, parte del complemento peritale del __________ datato 14 aprile 2022. Il dr. med. __________ aveva osservato (sottolineature del redattore): " (…) Ho ricevuto la sua documentazione inerente una visita eseguita presso il Prof. Dr. med. __________, FMH allergologia e immunologia clinica nonché FMH di medicina interna, a __________. Lettera del 22 febbraio 2022. Egli ritorna sulle diagnosi conosciute evidenziando una malattia di Behçet, delle discopatie L4-L5, una lesione degenerativa della colonna vertebrale, uno stato depressivo, un colon irritabile e multiple intolleranze alimentari. Nella sua discussione del caso segnala come circa il 30% dei pazienti sofferenti di sindrome di Behçet presentino una sintomatologia di tipo fibromialgico. Ricordo che al punto 6. della sua valutazione peritale, sotto diagnosi con ripercussione sulla capacità lavorativa, avevo segnalato una fibromialgia ritenendo, nella diagnosi differenziale, una possibile fibromialgia di tipo primario o in relazione con un’eventuale sindrome di Behçet. Come per altro segnalato dal collega immunologo è difficile poter differenziare quale sia effettivamente la causa di questi dolori a carattere diffuso accusati dall’assicurata. Questo tenendo in considerazione la presenza di un’importante componente psichica. Sono indicativi di questa patologia tutta una serie di disturbi funzionali, in parte elencati anche dal collega immunologo. Alla mia visita non avevo nessun indizio per una sinovite o un gonfiore articolare. Fatto questo confermato anche nella valutazione clinica del Prof. Dr. med. __________. Gli esami laboratoristici messimi a disposizione al momento della valutazione peritale non mostravano una sindrome infiammatoria. Il Prof. Dr. med. __________ ha proposto un intervento terapeutico con anticorpi anti-TNF Alfa per esempio Humira 40 mg sottocutaneo. Questo tenendo in considerazione i disturbi particolarmente importanti risentiti dall’assicurata. È da sperare che grazie a questa terapia medicamentosa immunosoppressiva i dolori scompaiano. Personalmente sono piuttosto dubbioso sul risultato terapeutico. Per quanto riguarda l’aspetto valetudinario, il quadro fibromialgico è determinante per la capacità lavorativa dell’assicurata, fanno stato le limitazioni funzionali da me espresse nella mia perizia al punto 7.4 sotto valutazione di capacità, risorse e problemi. Avevo indicato che essa è limitata dai dolori diffusi, dalla stanchezza cronica, dall’affaticamento rapido, dai disturbi del sonno, dalle cefalee e dal malessere in generale. Tenendo in considerazione le limitazioni funzionali da me sopra descritte determinanti per quanto riguarda la capacità lavorativa ritengo che queste siano ancora attualmente valide e trovino un riscontro anche nella lettera del Prof. Dr. med. __________ . Per questo motivo ritengo che le capacità lavorative da me determinate, nella valutazione peritale del 30 novembre 2020 abbiano ancora valore e non debbano essere modificate. (…)” (pag. 740-741 inc. AI) Ora, al di là dei dubbi sul risultato terapeutico espressi dal perito reumatologo, determinante è che entrambi gli specialisti (sia il dr. med. __________, sia il prof. dr. med. __________) non hanno trovato alcun indizio di una sinovite o un gonfiore articolare. Anche in merito alle limitazioni funzionali non vi è alcuna divergenza tra loro. Vi è divergenza per quel che concerne la capacità lavorativa residua. Il prof. dr. med. __________ ritiene un’incapacità lavorativa del 50% per quel che concerne la componente osteo-articolare, precisando che gli altri sintomi della sindrome Behçet accusati dall’assicurata non giustificano un’incapacità lavorativa (“ Dans l'état actuel de la patiente, au plan ostéo-articulaire, je pense que cela justifie une incapacité de 50 % pour permettre à la patiente aussi de se soigner. Le reste des atteintes de Behçet, telles qu'elles s'expriment actuellement chez la patiente ne justifie pas d'incapacité de travail) . Questa valutazione dell’inabilità lavorativa si scosta da quella del perito reumatologo dr. med. __________ (30%), alla quale va data preferenza trattandosi, appunto, di una dettagliata perizia. Quanto al rapporto 26 ottobre 2021 del dr. med. __________, va detto che lo stesso non apporta nuovi elementi già valutati dal __________. Lo specialista diagnostica sostanzialmente le stesse patologie riscontrate dal dr. med. __________, aggiungendo la (nuova) diagnosi di Morbo di Behçet che nell’ambito della perizia pluridisciplinare era “solo” sospettata. Egli consiglia, prima di un eventuale ricovero, di organizzare una valutazione ambulatoriale presso la psichiatra della struttura per “poter concentrare l’insieme adeguato procedere” . Va ricordato che l’aspetto extra-somatico è stato esaminato nell’ambito della perizia __________ dal dr. med. __________, il quale aveva valutato un’inabilità del 30% in tutte le attività (pag. 475). Nella presa di posizione 28 luglio 2022 il perito psichiatra ha osservato: “… ho preso visione del rapporto del Dr. __________, specialista in fisiatria, datato 26 ottobre 2021. Il medico riporta i dati soggettivi della perizianda e poi conclude per la presenza di un disturbo ansioso e dell’umore. In occasione della mia perizia avevo diagnosticato il disturbo misto ansioso-depressivo. Lo avevo approfondito, lo avevo descritto nelle sue intenzioni cliniche e lo avevo altresì circoscritta nelle sue ripercussioni funzionali, giungendo a definire la sua esatta influenza sulla capacità lavorativa. Non ci sono quindi elementi clinici oggettivi che siano in contraddizione con la mia valutazione, che confermo nella sua interezza.” (doc. IX/5) Quindi, non vi è alcun motivo per indagare ulteriormente l’aspetto extra-somatico. Con il ricorso l’assicurata evidenzia inoltre di non essere in grado di svolgere un’attività lavorativa. A sostegno della sua tesi, essa ha prodotto il seguente scritto 1° giugno 2022 del suo medico curante, dr. __________: " Vorrei aggiornarvi sulle condizioni della signora RI 1 per la quale è stata recentemente confermata la decisione di nessun diritto a prestazioni di invalidità (rendita del 30% con capacità lavorativa del 70%). Le diagnosi non sono cambiate ma volevo farvi presente che la Sig.ra RI 1 dimostrando la sua buona volontà ha fatto un tentativo di prova lavorativa che doveva durare 7 giorni in un grotto in qualità di aiuto-cucina e cameriera lavorando a tempo pieno. Già la sera del primo giorno lavorativo oltre alla stanchezza ha cominciato ad avere febbre con attacchi di freddo e caldo, dolori muscolari diffusi, cefalea, inappetenza, secchezza agli occhi con bruciori. Il giorno seguente ha presentato la presenza di aftosi diffusa nel cavo orale, nei dotti acustici esterni a livello vaginale con peggioramento dei sintomi presenti. Logicamente non è più potuta andare a lavorare. Da quanto successo è evidente che la Sig.ra RI 1 non è assolutamente in grado di lavorare in quanto dopo solo una giornata lavorativa ha accusato una recidiva della sua sintomatologia dovuta alla malattia di Behcet (confermata la diagnosi dal rapporto del Prof. __________ già in vostro possesso) malgrado sia in terapia con il farmaco Humira. Alla luce di questi ultimi fatti si chiede di valutare nuovamente se non ci siano presupposti per rivedere la vostra decisione.” (doc C) Allegata alla risposta di causa l’Ufficio AI ha prodotto le annotazioni 9 giugno 2022 del SMR, il quale, prendendo posizione sul succitato scritto del medico curante, ha sostenuto che: “dall’attuale rapporto del dr. __________ non risulta una sostanziale modifica dello stato di salute dell’assicurata. L’aftosi è una patologia che può recidivare come già successo in passato ma un’attiva lavorativa non può essere ritenuto quale fattore causale” (doc. IV/1). Con scritto 10 luglio 2022 il medico curante ha invece osservato quanto segue: " Purtroppo la mia valutazione sulla sig.ra __________ non è stata giudicata come avevo espresso nel mio scritto dell’01.06.2022 dal SMR, che ha menzionato unicamente l’aftosi quale causa dell’attività lavorativa. I medici della SMR hanno tralasciato di esprimersi sui sintomi che avevo elencato quali sequela dell’attività lavorativa insieme alle afte riconducibili alla malattia di Behcet: - Grave debolezza e malessere generale. - Febbre con brividi. - Abbondante sudorazione profusa anche in assenza di febbre. - Cefalea invalidante. - Secchezza e bruciore agli occhi con fotofobia. Questi sintomi non si presentano se la paziente svolge un’attività adeguata che non supera la capacità lavorativa del 20-30%.” (doc. VII/1) Su richiesta del SMR, il 24 agosto 2022 il __________ ha allegato la presa di posizione di alcuni periti specialisti in merito ai succitati scritti. Con lettera 18 agosto 2022 il dr. med. __________ ha precisato: " Non riscontro in questi atti delle nuove patologie o dei nuovi disturbi che non siano già stati valutati sia nella mia valutazione peritale che tenuti in considerazione nel mio rapporto medico del 10 marzo 2022 in vostro possesso. Ritengo quindi che questa nuova documentazione non modifichi quelle che sono le mie valutazioni peritali di allora in particolar modo le limitazioni funzionali e la capacità lavorativa." Di analogo tenore è la presa di posizione 26 luglio 2022 del dr. med. __________. Il perito neurologo ha infatti rilevato di aver preso atto del succitato rapporto del dr. __________, il quale “ nel suo elenco i disturbi della paziente figurano dal lato neurologico delle cefalee le quali sono comunque già state ampiamente discusse nella mia valutazione peritale del 22.12.2021. Non emergono aspetti nuovi” (IX/3). Anche la dr.ssa med. __________ non ha riscontrato nuovi elementi. Nella sua presa di posizione del 28 luglio 2022 essa ha rilevato che “ la secchezza e il bruciore agli occhi con fotofobia lamentati dall’assicurata in occasione della prova lavorativa in un posto quale aiuto cucina non modificano le conclusioni alle quali sono prevenuta in ordine della capacità lavorativa. L’inconveniente può essere risolto con l’installazione di gocce lubrificanti (doc. IX/4). Nemmeno lo scritto dell’assicurata, trasmesso dal suo rappresentante l’8 settembre 2022 (cfr. consid. 1.7), permette di modificare la valutazione peritale. Come detto, in quello scritto l’assicurata sostiene un suo peggioramento delle condizioni di salute dovuto alle elencate attività svolte, descrivendo i disturbi di cui soffre, alcuni dovuti, a suo dire, alla cura del farmaco Humira (XVI/1). A tal riguardo, con lettera 26 settembre 2022 il __________ ha fatto presente di aver sottoposto la lettera dell’assicurata all’esame dei consulenti, i quali hanno concluso che non essendo stati i disturbi e le diagnosi indicate corroborati da documenti medici, quanto sostenuto dall’assicurata non è in grado di apportare modifiche alla perizia del 27 agosto 2021 (XV/1). Al proposito va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 via abbondanziale va fatto presente che per quel che concerne gli effetti collaterali a seguito della cura con Humira sostenuti dall’assicurata, nel complemento peritale 10 marzo 2022 il dr. med. __________ aveva già nutrito dei dubbi sul risultato terapeutico (cfr. consid. 2.5). In conclusione, aderendo alle suelencate osservazioni dei periti del __________ e quindi non riscontrando alcun peggioramento della situazione valetudinaria rispetto alla perizia 27 agosto 2021, è da ritenere dimostrato, con il grado della verosimiglianza preponderante valido nell'ambito delle assicurazioni sociali (DTF 139 V 218 consid. 5.3), che l’assicurata è totalmente inabile in qualsiasi attività dal 1° maggio 2017 al 30 giugno 2018, ma dal 1° luglio 2017 è inabile al 35% nella sua abituale professione ed al 30% in attività adeguate. Infine, questo Tribunale ritiene che la documentazione medica agli atti contiene elementi chiari e sufficienti per valutare l'incapacità al lavoro dell'assicurata sino all'emanazione del querelato provvedimento, senza che si renda quindi necessario l'esperimento una perizia pluridisciplinare richiesta dalla ricorrente.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no. 10 pag. 28 consid. 4b; riguardo al previgente art. 4 cpv. 1 v Cost., cfr. DTF 124 V 94 consid. 4b, 122 V 162 consid. 1d, 119 V 344 consid. 3c con riferimenti). 2.6.  Occorre ora esaminare le conseguenze del danno alla salute dal profilo economico, successivo al 1° luglio 2018, ritenuto che, come viso al considerando precedente, dal 1° maggio 2018 (scadenza dell’anno di attesa) al 30 giugno 2018 il grado d’invalidità risulta essere del 100%. Va qui fatto presente che con rapporto 26 novembre 2021 il consulente in integrazione professionale, tenuto conto della valutazione medica, rispettivamente dei limiti funzionali ha ritenuto che l’assicurata può svolgere attività unicamente leggere, come operaia generiche con mansioni principalmente di controllo, aiuto venditrice di materiale leggero o senza obbligo di spostamento di pesi tipo venditore al banco, custode/portinaia con mansioni unicamente di controllo. Il consulente ha poi concluso di non ritenere dati i presupposti per mettere in atto provvedimenti di ordine professionale, facendo tuttavia presente di essere disponibile per valutare l’adozione di un eventuale aiuto al collocamento (pag. 716). 2.6.1 In merito alla determinazione del reddito da valida va ricordato che, secondo la giurisprudenza, occorre stabilire quanto la persona assicurata,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(cfr.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9C_151/2020 del 5 maggio 2020 consid. 6.1; 9C_416/2010 del 26 gennaio 2011 consid. 3.2). Nel caso concreto, quale reddito da valida, l’amministrazione ha preso considerazione i dati salariali statistici, attività semplici e ripetitive, nel settore alimentari quantificando un importo di fr. 51'627.--. Questo Tribunale non ha motivo per scostarsi da questo importo, rimasto del resto incontestato. 2.6.2.  Per quel che concerne il reddito da invalida ,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Secondo la giurisprudenza federale, per gli assicurati che, a causa della particolare situazione personale o professionale (affezioni invalidanti, età, nazionalità e tipo di permesso di dimora, grado di occupazione),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Nel caso concreto, sempre dalla decisione impugnata si rileva che l’Ufficio AI ha correttamente utilizzato la citata tabella TA dell’inchiesta sulla struttura dei salari elaborata dall’Ufficio federale di statistica. L’amministrazione ha poi riconosciuto una riduzione sociale complessiva del 5% per attività leggere e per altri fattori di riduzione e tenuto conto di una residua capacità lavorativa del 70%, quantificando il reddito da invalida in fr. 36'363.--. Tale importo è rimasto del resto incontestato. Dal raffronto dei redditi è risultato un grado d’invalidità non pensionabile del 30%, con la conseguente soppressione della rendita dal 1° luglio 2018. Infine, per quel che concerne il grado d’invalidità del 100% dal 1° maggio 2018 (scadenza dell’anno di attesa) al 30 giugno 2018, come correttamente riportato nella decisione contestata, “ il deposito tardivo della domanda, esclude a priori la corresponsione di prestazioni da parte nostra, in quanto il versamento della rendita sarebbe dato unicamente a decorrere dal 01.12.2018 (ovvero sei mesi dopo la rivendicazione del diritto (13.06.2018), art. 29 cpv. 1 LAI, momento in cui lei presenta un grado d'invalidità inferiore al 40%”. In queste circostanze, visto quanto sopra, rettamente l’Ufficio AI ha respinto la domanda di prestazioni. Ne consegue che, confermata la decisione contestata, il ricorso va respinto. 2.7.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